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路面维修改造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路面维修改造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路面维修改造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31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000元（投标价格不得超过控制价）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路面维修改造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</w:t>
                  </w:r>
                  <w:bookmarkStart w:id="0" w:name="_GoBack"/>
                  <w:bookmarkEnd w:id="0"/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FF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  <w:t>拆除原有破损路面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460㎡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2、新铺10cm厚二灰石垫层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460㎡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3、新铺20cm厚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C30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混凝土路面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460㎡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31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BEF349B"/>
    <w:rsid w:val="601714BE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ztb</cp:lastModifiedBy>
  <cp:lastPrinted>2020-03-24T02:57:53Z</cp:lastPrinted>
  <dcterms:modified xsi:type="dcterms:W3CDTF">2020-03-24T02:58:27Z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