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after="312" w:afterLines="100" w:line="600" w:lineRule="exact"/>
        <w:jc w:val="center"/>
        <w:outlineLvl w:val="0"/>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大庆市人民医院采购</w:t>
      </w:r>
      <w:r>
        <w:rPr>
          <w:rFonts w:hint="eastAsia" w:ascii="仿宋_GB2312" w:hAnsi="仿宋_GB2312" w:eastAsia="仿宋_GB2312" w:cs="仿宋_GB2312"/>
          <w:b/>
          <w:bCs/>
          <w:sz w:val="36"/>
          <w:szCs w:val="36"/>
          <w:lang w:val="en-US" w:eastAsia="zh-CN"/>
        </w:rPr>
        <w:t>上网行为管理系统</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一、采购单位：大庆市人民医院</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二、项目名称：大庆市人民医院采购上网行为管理系统(项目编号:</w:t>
      </w:r>
      <w:r>
        <w:rPr>
          <w:rFonts w:hint="eastAsia" w:ascii="仿宋_GB2312" w:hAnsi="仿宋_GB2312" w:eastAsia="仿宋_GB2312" w:cs="仿宋_GB2312"/>
          <w:b/>
          <w:bCs/>
          <w:sz w:val="28"/>
          <w:szCs w:val="28"/>
          <w:lang w:val="en-US" w:eastAsia="zh-CN"/>
        </w:rPr>
        <w:t>XXZX2023002</w:t>
      </w:r>
      <w:r>
        <w:rPr>
          <w:rFonts w:hint="eastAsia" w:ascii="仿宋_GB2312" w:hAnsi="仿宋_GB2312" w:eastAsia="仿宋_GB2312" w:cs="仿宋_GB2312"/>
          <w:b/>
          <w:bCs/>
          <w:sz w:val="28"/>
          <w:szCs w:val="28"/>
        </w:rPr>
        <w:t>）</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三、采购方式：竞争性谈判</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四、采购预算：</w:t>
      </w:r>
      <w:r>
        <w:rPr>
          <w:rFonts w:hint="eastAsia" w:ascii="仿宋_GB2312" w:hAnsi="仿宋_GB2312" w:eastAsia="仿宋_GB2312" w:cs="仿宋_GB2312"/>
          <w:b/>
          <w:bCs/>
          <w:sz w:val="28"/>
          <w:szCs w:val="28"/>
          <w:lang w:val="en-US" w:eastAsia="zh-CN"/>
        </w:rPr>
        <w:t>130000</w:t>
      </w:r>
      <w:r>
        <w:rPr>
          <w:rFonts w:hint="eastAsia" w:ascii="仿宋_GB2312" w:hAnsi="仿宋_GB2312" w:eastAsia="仿宋_GB2312" w:cs="仿宋_GB2312"/>
          <w:b/>
          <w:bCs/>
          <w:sz w:val="28"/>
          <w:szCs w:val="28"/>
        </w:rPr>
        <w:t>元（报价超出采购预算为无效报价）。</w:t>
      </w:r>
    </w:p>
    <w:p>
      <w:pPr>
        <w:pStyle w:val="8"/>
        <w:adjustRightInd w:val="0"/>
        <w:spacing w:after="312" w:afterLines="100" w:line="600" w:lineRule="exact"/>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01"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735"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539"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4170"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01"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上网行为管理系统</w:t>
            </w:r>
          </w:p>
        </w:tc>
        <w:tc>
          <w:tcPr>
            <w:tcW w:w="735" w:type="dxa"/>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39" w:type="dxa"/>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台</w:t>
            </w:r>
          </w:p>
        </w:tc>
        <w:tc>
          <w:tcPr>
            <w:tcW w:w="4170" w:type="dxa"/>
            <w:vAlign w:val="center"/>
          </w:tcPr>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2</w:t>
            </w:r>
            <w:r>
              <w:rPr>
                <w:rFonts w:ascii="宋体" w:hAnsi="宋体" w:eastAsia="宋体"/>
                <w:color w:val="auto"/>
              </w:rPr>
              <w:t>U</w:t>
            </w:r>
            <w:r>
              <w:rPr>
                <w:rFonts w:hint="eastAsia" w:ascii="宋体" w:hAnsi="宋体" w:eastAsia="宋体"/>
                <w:color w:val="auto"/>
              </w:rPr>
              <w:t>标准机架式设备，多核架构设计，不允许采用</w:t>
            </w:r>
            <w:r>
              <w:rPr>
                <w:rFonts w:ascii="宋体" w:hAnsi="宋体" w:eastAsia="宋体"/>
                <w:color w:val="auto"/>
              </w:rPr>
              <w:t>X86架构，网络吞吐24Gbps，</w:t>
            </w:r>
            <w:r>
              <w:rPr>
                <w:rFonts w:hint="eastAsia" w:ascii="宋体" w:hAnsi="宋体" w:eastAsia="宋体"/>
                <w:color w:val="auto"/>
              </w:rPr>
              <w:t>千兆电口≥</w:t>
            </w:r>
            <w:r>
              <w:rPr>
                <w:rFonts w:ascii="宋体" w:hAnsi="宋体" w:eastAsia="宋体"/>
                <w:color w:val="auto"/>
              </w:rPr>
              <w:t>12</w:t>
            </w:r>
            <w:r>
              <w:rPr>
                <w:rFonts w:hint="eastAsia" w:ascii="宋体" w:hAnsi="宋体" w:eastAsia="宋体"/>
                <w:color w:val="auto"/>
              </w:rPr>
              <w:t>个，千兆光口≥</w:t>
            </w:r>
            <w:r>
              <w:rPr>
                <w:rFonts w:ascii="宋体" w:hAnsi="宋体" w:eastAsia="宋体"/>
                <w:color w:val="auto"/>
              </w:rPr>
              <w:t>12</w:t>
            </w:r>
            <w:r>
              <w:rPr>
                <w:rFonts w:hint="eastAsia" w:ascii="宋体" w:hAnsi="宋体" w:eastAsia="宋体"/>
                <w:color w:val="auto"/>
              </w:rPr>
              <w:t>个，万兆接口≥2个，扩展插槽≥</w:t>
            </w:r>
            <w:r>
              <w:rPr>
                <w:rFonts w:ascii="宋体" w:hAnsi="宋体" w:eastAsia="宋体"/>
                <w:color w:val="auto"/>
              </w:rPr>
              <w:t>2</w:t>
            </w:r>
            <w:r>
              <w:rPr>
                <w:rFonts w:hint="eastAsia" w:ascii="宋体" w:hAnsi="宋体" w:eastAsia="宋体"/>
                <w:color w:val="auto"/>
              </w:rPr>
              <w:t>个，双电源，</w:t>
            </w:r>
            <w:r>
              <w:rPr>
                <w:rFonts w:ascii="宋体" w:hAnsi="宋体" w:eastAsia="宋体"/>
                <w:color w:val="auto"/>
              </w:rPr>
              <w:t>支持软硬件Bypass，设备断电或出现故障时保障业务链路的正常运行</w:t>
            </w:r>
            <w:r>
              <w:rPr>
                <w:rFonts w:hint="eastAsia" w:ascii="宋体" w:hAnsi="宋体" w:eastAsia="宋体" w:cs="宋体"/>
                <w:color w:val="auto"/>
                <w:kern w:val="0"/>
              </w:rPr>
              <w:t>，三年硬件维保，三年特征库升级服务，提供制造商针对本项目的授权书及售后服务承诺；</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s="宋体"/>
                <w:color w:val="auto"/>
                <w:kern w:val="0"/>
              </w:rPr>
              <w:t>要求新购置设备支持直接导入原有设备全部策略配置文件即可完成全部策略配置切换工作，无需重新配置策略，提供相关证明文件或承诺书并加盖制造商公章；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支持路由模式、透明（网桥）模式、混合模式，支持镜像接口，部署模式切换无需重启设备；</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w:t>
            </w:r>
            <w:r>
              <w:rPr>
                <w:rFonts w:ascii="宋体" w:hAnsi="宋体" w:eastAsia="宋体"/>
                <w:color w:val="auto"/>
              </w:rPr>
              <w:t>4G网络，在主线路出现问题时，自动切换到4G网络，保障网络正常运行；</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支持服务器负载均衡，支持一个公网</w:t>
            </w:r>
            <w:r>
              <w:rPr>
                <w:rFonts w:ascii="宋体" w:hAnsi="宋体" w:eastAsia="宋体"/>
                <w:color w:val="auto"/>
              </w:rPr>
              <w:t>IP映射到内网多台服务器，服务器间支持连接和源地址hash,支持服务器健康检查；</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支持防病毒设定功能，包含但不限于启用解压、最大解压层数、扫描所有文件、扫描文件列表（文件名称包括但不限于*.</w:t>
            </w:r>
            <w:r>
              <w:rPr>
                <w:rFonts w:ascii="宋体" w:hAnsi="宋体" w:eastAsia="宋体"/>
                <w:color w:val="auto"/>
              </w:rPr>
              <w:t>tar</w:t>
            </w:r>
            <w:r>
              <w:rPr>
                <w:rFonts w:hint="eastAsia" w:ascii="宋体" w:hAnsi="宋体" w:eastAsia="宋体"/>
                <w:color w:val="auto"/>
              </w:rPr>
              <w:t>、*.</w:t>
            </w:r>
            <w:r>
              <w:rPr>
                <w:rFonts w:ascii="宋体" w:hAnsi="宋体" w:eastAsia="宋体"/>
                <w:color w:val="auto"/>
              </w:rPr>
              <w:t>hta</w:t>
            </w:r>
            <w:r>
              <w:rPr>
                <w:rFonts w:hint="eastAsia" w:ascii="宋体" w:hAnsi="宋体" w:eastAsia="宋体"/>
                <w:color w:val="auto"/>
              </w:rPr>
              <w:t>、*.</w:t>
            </w:r>
            <w:r>
              <w:rPr>
                <w:rFonts w:ascii="宋体" w:hAnsi="宋体" w:eastAsia="宋体"/>
                <w:color w:val="auto"/>
              </w:rPr>
              <w:t>ppt</w:t>
            </w:r>
            <w:r>
              <w:rPr>
                <w:rFonts w:hint="eastAsia" w:ascii="宋体" w:hAnsi="宋体" w:eastAsia="宋体"/>
                <w:color w:val="auto"/>
              </w:rPr>
              <w:t>、*.</w:t>
            </w:r>
            <w:r>
              <w:rPr>
                <w:rFonts w:ascii="宋体" w:hAnsi="宋体" w:eastAsia="宋体"/>
                <w:color w:val="auto"/>
              </w:rPr>
              <w:t>zip</w:t>
            </w:r>
            <w:r>
              <w:rPr>
                <w:rFonts w:hint="eastAsia" w:ascii="宋体" w:hAnsi="宋体" w:eastAsia="宋体"/>
                <w:color w:val="auto"/>
              </w:rPr>
              <w:t>、*.</w:t>
            </w:r>
            <w:r>
              <w:rPr>
                <w:rFonts w:ascii="宋体" w:hAnsi="宋体" w:eastAsia="宋体"/>
                <w:color w:val="auto"/>
              </w:rPr>
              <w:t>vb</w:t>
            </w:r>
            <w:r>
              <w:rPr>
                <w:rFonts w:hint="eastAsia" w:ascii="宋体" w:hAnsi="宋体" w:eastAsia="宋体"/>
                <w:color w:val="auto"/>
              </w:rPr>
              <w:t>等），提供证明材料，</w:t>
            </w:r>
            <w:r>
              <w:rPr>
                <w:rFonts w:hint="eastAsia" w:ascii="宋体" w:hAnsi="宋体" w:eastAsia="宋体" w:cs="宋体"/>
                <w:color w:val="auto"/>
              </w:rPr>
              <w:t>不限于功能截图或第三方测试报告，并加盖产品制造厂商公章；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系统内置多个常见场景的应用标签，且标签支持管理员自定义；</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w:t>
            </w:r>
            <w:r>
              <w:rPr>
                <w:rFonts w:ascii="宋体" w:hAnsi="宋体" w:eastAsia="宋体"/>
                <w:color w:val="auto"/>
              </w:rPr>
              <w:t>HTTPS解密功能，支持页面及命令行配置解密策略，包括入接口、源地址对象、目的地址对象、https对象、域名排除等。支持针对HTTPS网站、HTTPS搜索记录、HTTPS邮箱等内容进行审计；HTTPS邮箱支持审计主题、内容、附件等；支持HTTPS域名库，预定义域名以及自定义域名；</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基于</w:t>
            </w:r>
            <w:r>
              <w:rPr>
                <w:rFonts w:ascii="宋体" w:hAnsi="宋体" w:eastAsia="宋体"/>
                <w:color w:val="auto"/>
              </w:rPr>
              <w:t>P2P行为和迅雷行为的应用智能识别技术；</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支持广告推送功能，支持</w:t>
            </w:r>
            <w:r>
              <w:rPr>
                <w:rFonts w:ascii="宋体" w:hAnsi="宋体" w:eastAsia="宋体"/>
                <w:color w:val="auto"/>
              </w:rPr>
              <w:t>PC端推送4个方位的广告，手机端支持推送全屏广告提供；</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具备策略分析配置功能，包括但不限于策略问题数量和策略宽松度分布展示，其中问题策略至少包括但不限于冲突策略、隐藏策略、冗余策略、可合并策略、空策略、过期策略、忽略策略等，且每种问题策略包含但不限于显示策略数和百分比，提供证明材料，</w:t>
            </w:r>
            <w:r>
              <w:rPr>
                <w:rFonts w:hint="eastAsia" w:ascii="宋体" w:hAnsi="宋体" w:eastAsia="宋体" w:cs="宋体"/>
                <w:color w:val="auto"/>
              </w:rPr>
              <w:t>不限于功能截图或第三方测试报告，并加盖产品制造厂商公章；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支持支持基于邮件收件人、发件人的黑白名单自定义控制方式；</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应用特征数支持</w:t>
            </w:r>
            <w:r>
              <w:rPr>
                <w:rFonts w:hint="eastAsia" w:ascii="宋体" w:hAnsi="宋体" w:eastAsia="宋体"/>
                <w:color w:val="FF0000"/>
              </w:rPr>
              <w:t>≥</w:t>
            </w:r>
            <w:r>
              <w:rPr>
                <w:rFonts w:ascii="宋体" w:hAnsi="宋体" w:eastAsia="宋体"/>
                <w:color w:val="FF0000"/>
              </w:rPr>
              <w:t>7200</w:t>
            </w:r>
            <w:r>
              <w:rPr>
                <w:rFonts w:hint="eastAsia" w:ascii="宋体" w:hAnsi="宋体" w:eastAsia="宋体"/>
                <w:color w:val="auto"/>
              </w:rPr>
              <w:t>条</w:t>
            </w:r>
            <w:r>
              <w:rPr>
                <w:rFonts w:ascii="宋体" w:hAnsi="宋体" w:eastAsia="宋体"/>
                <w:color w:val="auto"/>
              </w:rPr>
              <w:t>；</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支持终端类型检测和控制，以及显示终端趋势，针对系统运行过程中的应用统计，支持应用的热度图；</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基于全局白名单功能，可针对</w:t>
            </w:r>
            <w:r>
              <w:rPr>
                <w:rFonts w:ascii="宋体" w:hAnsi="宋体" w:eastAsia="宋体"/>
                <w:color w:val="auto"/>
              </w:rPr>
              <w:t>IP和MAC地址</w:t>
            </w:r>
            <w:r>
              <w:rPr>
                <w:rFonts w:hint="eastAsia" w:ascii="宋体" w:hAnsi="宋体" w:eastAsia="宋体"/>
                <w:color w:val="auto"/>
              </w:rPr>
              <w:t>，终端提示页面基于代码层面的用户自定义；</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w:t>
            </w:r>
            <w:r>
              <w:rPr>
                <w:rFonts w:ascii="宋体" w:hAnsi="宋体" w:eastAsia="宋体"/>
                <w:color w:val="auto"/>
              </w:rPr>
              <w:t>WEB Portal认证功能，支持本地认证、Radius认证、LDAP认证 和LDAP用户同步，支持对接IMC、SAM等常见AAA服务器，支持配置强制重新认证间隔，支持配置认证通过后重定向URL，要求本机自身支持短信认证功能。</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支持二维码认证，终端可以通过管理员扫描二维码授权方式上网，支持旁路部署</w:t>
            </w:r>
            <w:r>
              <w:rPr>
                <w:rFonts w:ascii="宋体" w:hAnsi="宋体" w:eastAsia="宋体"/>
                <w:color w:val="auto"/>
              </w:rPr>
              <w:t>WEB认证；</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s="宋体"/>
                <w:color w:val="auto"/>
                <w:kern w:val="0"/>
              </w:rPr>
              <w:t>具备</w:t>
            </w:r>
            <w:r>
              <w:rPr>
                <w:rFonts w:ascii="宋体" w:hAnsi="宋体" w:eastAsia="宋体" w:cs="宋体"/>
                <w:color w:val="auto"/>
                <w:kern w:val="0"/>
              </w:rPr>
              <w:t>WEB</w:t>
            </w:r>
            <w:r>
              <w:rPr>
                <w:rFonts w:hint="eastAsia" w:ascii="宋体" w:hAnsi="宋体" w:eastAsia="宋体" w:cs="宋体"/>
                <w:color w:val="auto"/>
                <w:kern w:val="0"/>
              </w:rPr>
              <w:t>防护能力，防护配置包括但不限于精确访问控制、防盗链、规则防护、C</w:t>
            </w:r>
            <w:r>
              <w:rPr>
                <w:rFonts w:ascii="宋体" w:hAnsi="宋体" w:eastAsia="宋体" w:cs="宋体"/>
                <w:color w:val="auto"/>
                <w:kern w:val="0"/>
              </w:rPr>
              <w:t>SRF</w:t>
            </w:r>
            <w:r>
              <w:rPr>
                <w:rFonts w:hint="eastAsia" w:ascii="宋体" w:hAnsi="宋体" w:eastAsia="宋体" w:cs="宋体"/>
                <w:color w:val="auto"/>
                <w:kern w:val="0"/>
              </w:rPr>
              <w:t>攻击防护、C</w:t>
            </w:r>
            <w:r>
              <w:rPr>
                <w:rFonts w:ascii="宋体" w:hAnsi="宋体" w:eastAsia="宋体" w:cs="宋体"/>
                <w:color w:val="auto"/>
                <w:kern w:val="0"/>
              </w:rPr>
              <w:t>C</w:t>
            </w:r>
            <w:r>
              <w:rPr>
                <w:rFonts w:hint="eastAsia" w:ascii="宋体" w:hAnsi="宋体" w:eastAsia="宋体" w:cs="宋体"/>
                <w:color w:val="auto"/>
                <w:kern w:val="0"/>
              </w:rPr>
              <w:t>攻击防护、网页防篡改、应用隐藏等</w:t>
            </w:r>
            <w:r>
              <w:rPr>
                <w:rFonts w:hint="eastAsia" w:ascii="宋体" w:hAnsi="宋体" w:eastAsia="宋体"/>
                <w:color w:val="auto"/>
              </w:rPr>
              <w:t>，提供证明材料，</w:t>
            </w:r>
            <w:r>
              <w:rPr>
                <w:rFonts w:hint="eastAsia" w:ascii="宋体" w:hAnsi="宋体" w:eastAsia="宋体" w:cs="宋体"/>
                <w:color w:val="auto"/>
              </w:rPr>
              <w:t>不限于功能截图或第三方测试报告，并加盖产品制造厂商公章；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支持弱密码扫描功能，即时了解网内主机是否存在弱口令，内置弱口令库，并可自定义字典库；</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提供威胁情报功能，支持全网威胁情报的搜索查询，可供攻击溯源，预知风险</w:t>
            </w:r>
            <w:r>
              <w:rPr>
                <w:rFonts w:ascii="宋体" w:hAnsi="宋体" w:eastAsia="宋体"/>
                <w:color w:val="auto"/>
              </w:rPr>
              <w:t>;支持威胁情报订阅，及时对突发威胁进行防护建议;支持20余种威胁分类，包括C&amp;C、僵木蠕、勒索、钓鱼、垃圾邮件等；</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支持入侵防御功能，规则库包括但不限于木马/后门、W</w:t>
            </w:r>
            <w:r>
              <w:rPr>
                <w:rFonts w:ascii="宋体" w:hAnsi="宋体" w:eastAsia="宋体"/>
                <w:color w:val="auto"/>
              </w:rPr>
              <w:t>eb</w:t>
            </w:r>
            <w:r>
              <w:rPr>
                <w:rFonts w:hint="eastAsia" w:ascii="宋体" w:hAnsi="宋体" w:eastAsia="宋体"/>
                <w:color w:val="auto"/>
              </w:rPr>
              <w:t>攻击、拒绝服务、信息泄露、蠕虫/病毒、挖矿、缓冲区溢出、s</w:t>
            </w:r>
            <w:r>
              <w:rPr>
                <w:rFonts w:ascii="宋体" w:hAnsi="宋体" w:eastAsia="宋体"/>
                <w:color w:val="auto"/>
              </w:rPr>
              <w:t>ql</w:t>
            </w:r>
            <w:r>
              <w:rPr>
                <w:rFonts w:hint="eastAsia" w:ascii="宋体" w:hAnsi="宋体" w:eastAsia="宋体"/>
                <w:color w:val="auto"/>
              </w:rPr>
              <w:t>注入、w</w:t>
            </w:r>
            <w:r>
              <w:rPr>
                <w:rFonts w:ascii="宋体" w:hAnsi="宋体" w:eastAsia="宋体"/>
                <w:color w:val="auto"/>
              </w:rPr>
              <w:t>eb</w:t>
            </w:r>
            <w:r>
              <w:rPr>
                <w:rFonts w:hint="eastAsia" w:ascii="宋体" w:hAnsi="宋体" w:eastAsia="宋体"/>
                <w:color w:val="auto"/>
              </w:rPr>
              <w:t>序列化等，提供证明材料，</w:t>
            </w:r>
            <w:r>
              <w:rPr>
                <w:rFonts w:hint="eastAsia" w:ascii="宋体" w:hAnsi="宋体" w:eastAsia="宋体" w:cs="宋体"/>
                <w:color w:val="auto"/>
              </w:rPr>
              <w:t>不限于功能截图或第三方测试报告，并加盖产品制造厂商公章；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内网资产监控，可对终端风险级别、操作系统、浏览器类型、应用、杀毒软件等方面进行监控；</w:t>
            </w:r>
          </w:p>
        </w:tc>
      </w:tr>
    </w:tbl>
    <w:p>
      <w:pPr>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1、签订合同后，七日内到货并完成安装。</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3、如技术要求中未特别注明需执行的国家相关标准、行业标准、地方标准或者其他标准、规范，则统一执行最新标准、规范。</w:t>
      </w:r>
    </w:p>
    <w:p>
      <w:pPr>
        <w:spacing w:line="480" w:lineRule="auto"/>
        <w:ind w:firstLine="482" w:firstLineChars="200"/>
        <w:rPr>
          <w:b/>
          <w:bCs/>
          <w:sz w:val="24"/>
        </w:rPr>
      </w:pPr>
      <w:r>
        <w:rPr>
          <w:rFonts w:hint="eastAsia"/>
          <w:b/>
          <w:bCs/>
          <w:sz w:val="24"/>
        </w:rPr>
        <w:t>六、供应商资格条件：</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1.服务方提供周一至周日7×24小时的电话支持和现场响应服务，针对所升级设备发生的宕机等重大故障，服务方要在接到甲方报修电话后30分钟内响应，并在1小时内到达现场。</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2.安全服务要求：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八、验收标准：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1.由买方或其指定单位组织人员进行系统、检测验收，卖方应派检查人员到现场参加检验工作。如发现功能缺陷、系统故障、的问题，买卖双方检验人员应作详细记录，并由买卖双方代表签字。</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2.提交实施服务报告。</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3.系统运行状态检查。</w:t>
      </w:r>
    </w:p>
    <w:p>
      <w:pPr>
        <w:spacing w:line="600" w:lineRule="exact"/>
        <w:ind w:firstLine="660"/>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制造商</w:t>
      </w:r>
      <w:r>
        <w:rPr>
          <w:rFonts w:ascii="仿宋_GB2312" w:hAnsi="仿宋_GB2312" w:eastAsia="仿宋_GB2312" w:cs="仿宋_GB2312"/>
          <w:color w:val="auto"/>
          <w:sz w:val="28"/>
          <w:szCs w:val="28"/>
        </w:rPr>
        <w:t>云安全联盟</w:t>
      </w:r>
      <w:r>
        <w:rPr>
          <w:rFonts w:hint="eastAsia" w:ascii="仿宋_GB2312" w:hAnsi="仿宋_GB2312" w:eastAsia="仿宋_GB2312" w:cs="仿宋_GB2312"/>
          <w:color w:val="auto"/>
          <w:sz w:val="28"/>
          <w:szCs w:val="28"/>
        </w:rPr>
        <w:t>颁发的</w:t>
      </w:r>
      <w:r>
        <w:rPr>
          <w:rFonts w:ascii="仿宋_GB2312" w:hAnsi="仿宋_GB2312" w:eastAsia="仿宋_GB2312" w:cs="仿宋_GB2312"/>
          <w:color w:val="auto"/>
          <w:sz w:val="28"/>
          <w:szCs w:val="28"/>
        </w:rPr>
        <w:t>理事单位</w:t>
      </w:r>
      <w:r>
        <w:rPr>
          <w:rFonts w:hint="eastAsia" w:ascii="仿宋_GB2312" w:hAnsi="仿宋_GB2312" w:eastAsia="仿宋_GB2312" w:cs="仿宋_GB2312"/>
          <w:color w:val="auto"/>
          <w:sz w:val="28"/>
          <w:szCs w:val="28"/>
        </w:rPr>
        <w:t>证书，复印件加盖制造商公章</w:t>
      </w:r>
    </w:p>
    <w:p>
      <w:pPr>
        <w:spacing w:line="600" w:lineRule="exact"/>
        <w:ind w:firstLine="660"/>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t>制造商</w:t>
      </w:r>
      <w:r>
        <w:rPr>
          <w:rFonts w:ascii="仿宋_GB2312" w:hAnsi="仿宋_GB2312" w:eastAsia="仿宋_GB2312" w:cs="仿宋_GB2312"/>
          <w:color w:val="auto"/>
          <w:sz w:val="28"/>
          <w:szCs w:val="28"/>
        </w:rPr>
        <w:t>微软MAPP合作伙伴</w:t>
      </w:r>
      <w:r>
        <w:rPr>
          <w:rFonts w:hint="eastAsia" w:ascii="仿宋_GB2312" w:hAnsi="仿宋_GB2312" w:eastAsia="仿宋_GB2312" w:cs="仿宋_GB2312"/>
          <w:color w:val="auto"/>
          <w:sz w:val="28"/>
          <w:szCs w:val="28"/>
        </w:rPr>
        <w:t>官网查询截图，复印件加盖制造商公章</w:t>
      </w:r>
    </w:p>
    <w:p>
      <w:pPr>
        <w:spacing w:line="600" w:lineRule="exact"/>
        <w:ind w:firstLine="6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ascii="仿宋_GB2312" w:hAnsi="仿宋_GB2312" w:eastAsia="仿宋_GB2312" w:cs="仿宋_GB2312"/>
          <w:color w:val="auto"/>
          <w:sz w:val="28"/>
          <w:szCs w:val="28"/>
        </w:rPr>
        <w:t>. 制造商</w:t>
      </w:r>
      <w:r>
        <w:rPr>
          <w:rFonts w:hint="eastAsia" w:ascii="仿宋_GB2312" w:hAnsi="仿宋_GB2312" w:eastAsia="仿宋_GB2312" w:cs="仿宋_GB2312"/>
          <w:color w:val="auto"/>
          <w:sz w:val="28"/>
          <w:szCs w:val="28"/>
        </w:rPr>
        <w:t>国家计算机网络应急技术处理协调中心</w:t>
      </w:r>
      <w:r>
        <w:rPr>
          <w:rFonts w:ascii="仿宋_GB2312" w:hAnsi="仿宋_GB2312" w:eastAsia="仿宋_GB2312" w:cs="仿宋_GB2312"/>
          <w:color w:val="auto"/>
          <w:sz w:val="28"/>
          <w:szCs w:val="28"/>
        </w:rPr>
        <w:t>颁发</w:t>
      </w:r>
      <w:r>
        <w:rPr>
          <w:rFonts w:hint="eastAsia" w:ascii="仿宋_GB2312" w:hAnsi="仿宋_GB2312" w:eastAsia="仿宋_GB2312" w:cs="仿宋_GB2312"/>
          <w:color w:val="auto"/>
          <w:sz w:val="28"/>
          <w:szCs w:val="28"/>
        </w:rPr>
        <w:t>的网络安全应急服务支撑单位证书（国家级），复印件加盖制造商公章</w:t>
      </w:r>
    </w:p>
    <w:p>
      <w:pPr>
        <w:pStyle w:val="2"/>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r>
        <w:rPr>
          <w:rFonts w:ascii="仿宋_GB2312" w:hAnsi="仿宋_GB2312" w:eastAsia="仿宋_GB2312" w:cs="仿宋_GB2312"/>
          <w:color w:val="auto"/>
          <w:sz w:val="28"/>
          <w:szCs w:val="28"/>
        </w:rPr>
        <w:t>.</w:t>
      </w:r>
      <w:r>
        <w:rPr>
          <w:rFonts w:ascii="宋体" w:hAnsi="宋体"/>
          <w:color w:val="auto"/>
        </w:rPr>
        <w:t xml:space="preserve"> </w:t>
      </w:r>
      <w:r>
        <w:rPr>
          <w:rFonts w:ascii="仿宋_GB2312" w:hAnsi="仿宋_GB2312" w:eastAsia="仿宋_GB2312" w:cs="仿宋_GB2312"/>
          <w:color w:val="auto"/>
          <w:sz w:val="28"/>
          <w:szCs w:val="28"/>
        </w:rPr>
        <w:t>制造商国家信息安全漏洞库（CNNVD）技术支撑单位等级证书（一级）</w:t>
      </w:r>
      <w:r>
        <w:rPr>
          <w:rFonts w:hint="eastAsia" w:ascii="仿宋_GB2312" w:hAnsi="仿宋_GB2312" w:eastAsia="仿宋_GB2312" w:cs="仿宋_GB2312"/>
          <w:color w:val="auto"/>
          <w:sz w:val="28"/>
          <w:szCs w:val="28"/>
        </w:rPr>
        <w:t>，复印件加盖制造商公章</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合同签订之日起7日内交付使用并完成验收。</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w:t>
      </w:r>
    </w:p>
    <w:p>
      <w:pPr>
        <w:spacing w:line="600" w:lineRule="exact"/>
        <w:ind w:firstLine="6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验收合格后支付项目合同款</w:t>
      </w:r>
      <w:r>
        <w:rPr>
          <w:rFonts w:hint="eastAsia" w:ascii="仿宋_GB2312" w:hAnsi="仿宋_GB2312" w:eastAsia="仿宋_GB2312" w:cs="仿宋_GB2312"/>
          <w:sz w:val="28"/>
          <w:szCs w:val="28"/>
          <w:lang w:val="en-US" w:eastAsia="zh-CN"/>
        </w:rPr>
        <w:t>100%。</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有意投标者请将投标资料密封在信封或档案袋内（投标书封面，要求写明文件名称、投标单位名称（盖章）、地址、投标单位法定代表人（签字或盖章），投标单位联系人，联系电话），提供原件的需单独密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2.标书要求：一本正本、三本副本均加盖公章，装订方式为胶装。</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3.标书封面须有以下内容（1）投标公司全称及正本或副本标识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4.投标文件包含项目：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（1）提供有效的营业执照副本（加盖公章）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（2）法定代表人身份证（法定代表人参会时提供）。如参会代表不是法定代表人的，须附有授权委托书，法定代表人身份证及授权代表身份证。授权代表需提供社保证明。（加盖公章）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（4）供应商提供投标截止日前6个月内任意1个月依法缴纳税收和社会保障资金的相关材料。或不需要缴纳社会保障资金的，提供相应证明材料（加盖公章）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（6）提供本单位的参加政府采购活动前3年内在经营活动中没有重大违法记录的书面声明（加盖公章，格式自定）。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（7）响应资料无弄虚作假声明。如发现资料为虚假资料，将取消响应资格，且供应商自行承担法律责任（加盖公章，格式自定）。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未被信用中国网站（www.creditchina.gov.cn）列入失信被执行人、重大税收违法案件当事人名单；未被中国政府采购网（www.ccgp.gov.cn）列入政府采购严重违法失信行为记录名单。提供网站查询截图。（加盖公章，格式自定）</w:t>
      </w:r>
    </w:p>
    <w:p>
      <w:pPr>
        <w:spacing w:line="600" w:lineRule="exact"/>
        <w:ind w:firstLine="660"/>
        <w:jc w:val="left"/>
        <w:rPr>
          <w:rFonts w:eastAsia="仿宋_GB2312"/>
        </w:rPr>
      </w:pPr>
      <w:r>
        <w:rPr>
          <w:rFonts w:hint="eastAsia" w:ascii="仿宋_GB2312" w:hAnsi="仿宋_GB2312" w:eastAsia="仿宋_GB2312" w:cs="仿宋_GB2312"/>
          <w:sz w:val="28"/>
          <w:szCs w:val="28"/>
        </w:rPr>
        <w:t>（9）技术文档中明确所投标的的产品品牌、规格型号或服务内容或工程量； 投标文件应当对招标文件提出的要求和条件作出明确响应并满足招标文件全部实质性要求。（加盖公章，格式自定）</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十二、报名须知：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1.本项目采购公告发出后，如有变更（如：变更通知、有关问题答复、质疑答复等相关文件），将在“大庆市人民医院网站”告知，转载无效，所有参与本项目投标的供应商，供应商应主动查看。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2.本项目不设资格预审，供应商应详细阅读本公告，符合条件即可参与。参标供应商按照要求将所有资质证明资料提供到开标会现场，由评委小组审查，经评审不符合条件者投标无效。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3.如有质疑，请以书面形式提出并附营业执照复印件及法人身份证复印件，其它形式采购方均不受理。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4.招标谈判价格及中标价格都为税后价格。</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5、报名时间：公告之日起至-</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日。超过报名期限，报名无效。</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报名方式：邮箱报名：rmyyxxzx@126.com，需要填写附件报名表（本公告最后一页），填写完整并加盖公章后上传PDF版至此邮箱。</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 6612123  6612857</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时 间：-</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bookmarkStart w:id="0" w:name="_GoBack"/>
      <w:bookmarkEnd w:id="0"/>
      <w:r>
        <w:rPr>
          <w:rFonts w:hint="eastAsia" w:ascii="仿宋_GB2312" w:hAnsi="仿宋_GB2312" w:eastAsia="仿宋_GB2312" w:cs="仿宋_GB2312"/>
          <w:sz w:val="28"/>
          <w:szCs w:val="28"/>
        </w:rPr>
        <w:t xml:space="preserve">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如有变化另行通知</w:t>
      </w:r>
      <w:r>
        <w:rPr>
          <w:rFonts w:ascii="仿宋_GB2312" w:hAnsi="仿宋_GB2312" w:eastAsia="仿宋_GB2312" w:cs="仿宋_GB2312"/>
          <w:sz w:val="28"/>
          <w:szCs w:val="28"/>
        </w:rPr>
        <w:t>)</w:t>
      </w:r>
    </w:p>
    <w:p>
      <w:pPr>
        <w:numPr>
          <w:ilvl w:val="0"/>
          <w:numId w:val="2"/>
        </w:num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cs="宋体"/>
          <w:sz w:val="36"/>
          <w:szCs w:val="36"/>
        </w:rPr>
      </w:pPr>
      <w:r>
        <w:rPr>
          <w:rFonts w:hint="eastAsia" w:ascii="宋体" w:hAnsi="宋体" w:cs="宋体"/>
          <w:sz w:val="36"/>
          <w:szCs w:val="36"/>
        </w:rPr>
        <w:t xml:space="preserve">附件    </w:t>
      </w:r>
    </w:p>
    <w:p>
      <w:pPr>
        <w:ind w:firstLine="2880" w:firstLineChars="800"/>
        <w:rPr>
          <w:rFonts w:ascii="宋体" w:hAnsi="宋体" w:cs="宋体"/>
          <w:sz w:val="36"/>
          <w:szCs w:val="36"/>
        </w:rPr>
      </w:pPr>
      <w:r>
        <w:rPr>
          <w:rFonts w:hint="eastAsia" w:ascii="宋体" w:hAnsi="宋体" w:cs="宋体"/>
          <w:sz w:val="36"/>
          <w:szCs w:val="36"/>
        </w:rPr>
        <w:t>xx项目投标报名表</w:t>
      </w:r>
    </w:p>
    <w:p>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rPr>
      </w:pPr>
      <w:r>
        <w:rPr>
          <w:rFonts w:hint="eastAsia" w:ascii="宋体" w:hAnsi="宋体" w:cs="宋体"/>
          <w:sz w:val="36"/>
          <w:szCs w:val="36"/>
        </w:rPr>
        <w:t>项目名称：</w:t>
      </w:r>
    </w:p>
    <w:p>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rPr>
      </w:pPr>
      <w:r>
        <w:rPr>
          <w:rFonts w:hint="eastAsia" w:ascii="宋体" w:hAnsi="宋体" w:cs="宋体"/>
          <w:sz w:val="36"/>
          <w:szCs w:val="36"/>
        </w:rPr>
        <w:t>项目编号：</w:t>
      </w:r>
    </w:p>
    <w:p>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rPr>
      </w:pPr>
      <w:r>
        <w:rPr>
          <w:rFonts w:hint="eastAsia" w:ascii="宋体" w:hAnsi="宋体" w:cs="宋体"/>
          <w:sz w:val="32"/>
          <w:szCs w:val="32"/>
        </w:rPr>
        <w:t xml:space="preserve">联系人：                  移动电话：                 </w:t>
      </w:r>
    </w:p>
    <w:p>
      <w:pPr>
        <w:pBdr>
          <w:top w:val="single" w:color="auto" w:sz="4" w:space="1"/>
          <w:left w:val="single" w:color="auto" w:sz="4" w:space="4"/>
          <w:bottom w:val="none" w:color="auto" w:sz="0" w:space="1"/>
          <w:right w:val="single" w:color="auto" w:sz="4" w:space="4"/>
        </w:pBdr>
        <w:rPr>
          <w:rFonts w:ascii="宋体" w:hAnsi="宋体" w:cs="宋体"/>
          <w:sz w:val="36"/>
          <w:szCs w:val="36"/>
        </w:rPr>
      </w:pPr>
      <w:r>
        <w:rPr>
          <w:rFonts w:hint="eastAsia" w:ascii="宋体" w:hAnsi="宋体" w:cs="宋体"/>
          <w:sz w:val="32"/>
          <w:szCs w:val="32"/>
        </w:rPr>
        <w:t>电子邮件：</w:t>
      </w: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 xml:space="preserve">我公司已阅读该项目招标文件及公告，并按照要求提供资料报名参加投标。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投标单位（公章）：</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报名代表签字：</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报名日期：      年     月     日</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b/>
          <w:bCs/>
          <w:sz w:val="36"/>
          <w:szCs w:val="36"/>
        </w:rPr>
      </w:pPr>
      <w:r>
        <w:rPr>
          <w:rFonts w:hint="eastAsia" w:ascii="宋体" w:hAnsi="宋体" w:cs="宋体"/>
          <w:b/>
          <w:bCs/>
          <w:sz w:val="36"/>
          <w:szCs w:val="36"/>
        </w:rPr>
        <w:t>注：如放弃此项目，请在开标前电话告知。</w:t>
      </w:r>
    </w:p>
    <w:p>
      <w:pPr>
        <w:spacing w:line="600" w:lineRule="exact"/>
        <w:jc w:val="left"/>
        <w:rPr>
          <w:rFonts w:ascii="仿宋_GB2312" w:hAnsi="仿宋_GB2312" w:eastAsia="仿宋_GB2312" w:cs="仿宋_GB2312"/>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abstractNum w:abstractNumId="1">
    <w:nsid w:val="46C66CC1"/>
    <w:multiLevelType w:val="multilevel"/>
    <w:tmpl w:val="46C66C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OTdjODdmMDdlMzBjNGYzODYwOTBkZWEyMjQzNzI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3174096"/>
    <w:rsid w:val="050140F6"/>
    <w:rsid w:val="072D4A49"/>
    <w:rsid w:val="09182F28"/>
    <w:rsid w:val="0B022976"/>
    <w:rsid w:val="0E760A58"/>
    <w:rsid w:val="0EA25227"/>
    <w:rsid w:val="0FDF5034"/>
    <w:rsid w:val="11D37C8C"/>
    <w:rsid w:val="1666025D"/>
    <w:rsid w:val="16775FC6"/>
    <w:rsid w:val="16CF4C05"/>
    <w:rsid w:val="1991739F"/>
    <w:rsid w:val="1D1D61ED"/>
    <w:rsid w:val="1DBF33D6"/>
    <w:rsid w:val="231B00C0"/>
    <w:rsid w:val="25511304"/>
    <w:rsid w:val="25CD79B1"/>
    <w:rsid w:val="274C36AC"/>
    <w:rsid w:val="28821F99"/>
    <w:rsid w:val="2A816FBC"/>
    <w:rsid w:val="2C365656"/>
    <w:rsid w:val="2C445632"/>
    <w:rsid w:val="2FAC6889"/>
    <w:rsid w:val="32F24260"/>
    <w:rsid w:val="3332035D"/>
    <w:rsid w:val="354457B6"/>
    <w:rsid w:val="35692C47"/>
    <w:rsid w:val="367040CD"/>
    <w:rsid w:val="369F6410"/>
    <w:rsid w:val="36AC4D96"/>
    <w:rsid w:val="39AD1B7B"/>
    <w:rsid w:val="3B0E03F8"/>
    <w:rsid w:val="3B800BCA"/>
    <w:rsid w:val="3E001ACB"/>
    <w:rsid w:val="3F7E2D29"/>
    <w:rsid w:val="400E575F"/>
    <w:rsid w:val="44305883"/>
    <w:rsid w:val="48A95C04"/>
    <w:rsid w:val="4B9366F7"/>
    <w:rsid w:val="4DC0318A"/>
    <w:rsid w:val="4EA561F2"/>
    <w:rsid w:val="4EC240F1"/>
    <w:rsid w:val="4F037DBD"/>
    <w:rsid w:val="4F195FC5"/>
    <w:rsid w:val="50695DFD"/>
    <w:rsid w:val="5452714F"/>
    <w:rsid w:val="54A57831"/>
    <w:rsid w:val="56B50A62"/>
    <w:rsid w:val="56DE65BB"/>
    <w:rsid w:val="57B123DF"/>
    <w:rsid w:val="593372DF"/>
    <w:rsid w:val="5BFA49A5"/>
    <w:rsid w:val="5DC11AA1"/>
    <w:rsid w:val="5DD9376C"/>
    <w:rsid w:val="5E0F1C0D"/>
    <w:rsid w:val="615675DB"/>
    <w:rsid w:val="63116428"/>
    <w:rsid w:val="64E020F2"/>
    <w:rsid w:val="65BF660F"/>
    <w:rsid w:val="663A3EE7"/>
    <w:rsid w:val="670544F5"/>
    <w:rsid w:val="67BC4283"/>
    <w:rsid w:val="684E3579"/>
    <w:rsid w:val="68F159A6"/>
    <w:rsid w:val="69BB70ED"/>
    <w:rsid w:val="6C77221A"/>
    <w:rsid w:val="6C7C7008"/>
    <w:rsid w:val="6D1159A2"/>
    <w:rsid w:val="6DC13574"/>
    <w:rsid w:val="6F190B3E"/>
    <w:rsid w:val="6FC22CFB"/>
    <w:rsid w:val="71867FE1"/>
    <w:rsid w:val="725F3A16"/>
    <w:rsid w:val="73F94DAE"/>
    <w:rsid w:val="747D6EEF"/>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 w:type="paragraph" w:styleId="10">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3540</Words>
  <Characters>3839</Characters>
  <Lines>30</Lines>
  <Paragraphs>8</Paragraphs>
  <TotalTime>9</TotalTime>
  <ScaleCrop>false</ScaleCrop>
  <LinksUpToDate>false</LinksUpToDate>
  <CharactersWithSpaces>4053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Administrator</cp:lastModifiedBy>
  <cp:lastPrinted>2022-07-11T06:35:00Z</cp:lastPrinted>
  <dcterms:modified xsi:type="dcterms:W3CDTF">2023-06-13T07:22:50Z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AF36CB19C1934B1F84B32EC38E050AEA</vt:lpwstr>
  </property>
</Properties>
</file>