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auto"/>
        <w:outlineLvl w:val="0"/>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大庆市人民医院体检系统</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auto"/>
        <w:outlineLvl w:val="0"/>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与东华集成平台接口服务项目</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562" w:firstLineChars="200"/>
        <w:textAlignment w:val="auto"/>
        <w:outlineLvl w:val="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一、采购单位：大庆市人民医院</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562" w:firstLineChars="200"/>
        <w:textAlignment w:val="auto"/>
        <w:outlineLvl w:val="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二、项目名称：大庆市人民医院体检系统与东华集成平台接口服务项目</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562" w:firstLineChars="200"/>
        <w:textAlignment w:val="auto"/>
        <w:outlineLvl w:val="0"/>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三、采购方式：单一来源</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562" w:firstLineChars="200"/>
        <w:textAlignment w:val="auto"/>
        <w:outlineLvl w:val="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四、采购预算：250000元（报价超出采购预算为无效报价）。</w:t>
      </w:r>
    </w:p>
    <w:p>
      <w:pPr>
        <w:pStyle w:val="8"/>
        <w:keepNext w:val="0"/>
        <w:keepLines w:val="0"/>
        <w:pageBreakBefore w:val="0"/>
        <w:widowControl w:val="0"/>
        <w:kinsoku/>
        <w:wordWrap/>
        <w:overflowPunct/>
        <w:topLinePunct w:val="0"/>
        <w:autoSpaceDE/>
        <w:autoSpaceDN/>
        <w:bidi w:val="0"/>
        <w:adjustRightInd w:val="0"/>
        <w:snapToGrid/>
        <w:spacing w:after="312" w:afterLines="100" w:line="600" w:lineRule="exact"/>
        <w:ind w:firstLine="562" w:firstLineChars="200"/>
        <w:textAlignment w:val="auto"/>
        <w:outlineLvl w:val="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五、采购内容及技术要求：</w:t>
      </w:r>
    </w:p>
    <w:tbl>
      <w:tblPr>
        <w:tblStyle w:val="5"/>
        <w:tblW w:w="7817"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01"/>
        <w:gridCol w:w="735"/>
        <w:gridCol w:w="539"/>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spacing w:line="288"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序号</w:t>
            </w:r>
          </w:p>
        </w:tc>
        <w:tc>
          <w:tcPr>
            <w:tcW w:w="1801" w:type="dxa"/>
            <w:vAlign w:val="center"/>
          </w:tcPr>
          <w:p>
            <w:pPr>
              <w:spacing w:line="288"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名称</w:t>
            </w:r>
          </w:p>
        </w:tc>
        <w:tc>
          <w:tcPr>
            <w:tcW w:w="735" w:type="dxa"/>
            <w:vAlign w:val="center"/>
          </w:tcPr>
          <w:p>
            <w:pPr>
              <w:spacing w:line="288"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数量</w:t>
            </w:r>
          </w:p>
        </w:tc>
        <w:tc>
          <w:tcPr>
            <w:tcW w:w="539" w:type="dxa"/>
            <w:vAlign w:val="center"/>
          </w:tcPr>
          <w:p>
            <w:pPr>
              <w:spacing w:line="288"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单位</w:t>
            </w:r>
          </w:p>
        </w:tc>
        <w:tc>
          <w:tcPr>
            <w:tcW w:w="4170" w:type="dxa"/>
            <w:vAlign w:val="center"/>
          </w:tcPr>
          <w:p>
            <w:pPr>
              <w:spacing w:line="288" w:lineRule="auto"/>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1801" w:type="dxa"/>
            <w:vAlign w:val="center"/>
          </w:tcPr>
          <w:p>
            <w:pPr>
              <w:widowControl/>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体检系统和院内集成平台接口</w:t>
            </w:r>
          </w:p>
        </w:tc>
        <w:tc>
          <w:tcPr>
            <w:tcW w:w="735" w:type="dxa"/>
            <w:vAlign w:val="center"/>
          </w:tcPr>
          <w:p>
            <w:pPr>
              <w:widowControl/>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539" w:type="dxa"/>
            <w:vAlign w:val="center"/>
          </w:tcPr>
          <w:p>
            <w:pPr>
              <w:widowControl/>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套</w:t>
            </w:r>
          </w:p>
        </w:tc>
        <w:tc>
          <w:tcPr>
            <w:tcW w:w="4170" w:type="dxa"/>
            <w:vAlign w:val="center"/>
          </w:tcPr>
          <w:p>
            <w:pPr>
              <w:widowControl/>
              <w:rPr>
                <w:rFonts w:hint="eastAsia"/>
                <w:lang w:val="en-US" w:eastAsia="zh-CN"/>
              </w:rPr>
            </w:pPr>
            <w:r>
              <w:rPr>
                <w:rFonts w:hint="eastAsia"/>
                <w:lang w:val="en-US" w:eastAsia="zh-CN"/>
              </w:rPr>
              <w:t>搭建接口功能模块</w:t>
            </w:r>
          </w:p>
          <w:p>
            <w:pPr>
              <w:widowControl/>
              <w:rPr>
                <w:rFonts w:hint="eastAsia"/>
                <w:lang w:val="en-US" w:eastAsia="zh-CN"/>
              </w:rPr>
            </w:pPr>
            <w:r>
              <w:rPr>
                <w:rFonts w:hint="eastAsia"/>
                <w:lang w:val="en-US" w:eastAsia="zh-CN"/>
              </w:rPr>
              <w:t>用户字典同步接口</w:t>
            </w:r>
          </w:p>
          <w:p>
            <w:pPr>
              <w:widowControl/>
              <w:rPr>
                <w:rFonts w:hint="eastAsia"/>
                <w:lang w:val="en-US" w:eastAsia="zh-CN"/>
              </w:rPr>
            </w:pPr>
            <w:r>
              <w:rPr>
                <w:rFonts w:hint="eastAsia"/>
                <w:lang w:val="en-US" w:eastAsia="zh-CN"/>
              </w:rPr>
              <w:t>科室字典同步接口</w:t>
            </w:r>
          </w:p>
          <w:p>
            <w:pPr>
              <w:widowControl/>
              <w:rPr>
                <w:rFonts w:hint="eastAsia"/>
                <w:lang w:val="en-US" w:eastAsia="zh-CN"/>
              </w:rPr>
            </w:pPr>
            <w:r>
              <w:rPr>
                <w:rFonts w:hint="eastAsia"/>
                <w:lang w:val="en-US" w:eastAsia="zh-CN"/>
              </w:rPr>
              <w:t>医嘱项字典同步接口</w:t>
            </w:r>
          </w:p>
          <w:p>
            <w:pPr>
              <w:widowControl/>
              <w:rPr>
                <w:rFonts w:hint="eastAsia"/>
                <w:lang w:val="en-US" w:eastAsia="zh-CN"/>
              </w:rPr>
            </w:pPr>
            <w:r>
              <w:rPr>
                <w:rFonts w:hint="eastAsia"/>
                <w:lang w:val="en-US" w:eastAsia="zh-CN"/>
              </w:rPr>
              <w:t>检查项目价格同步接口</w:t>
            </w:r>
          </w:p>
          <w:p>
            <w:pPr>
              <w:widowControl/>
              <w:rPr>
                <w:rFonts w:hint="eastAsia"/>
                <w:lang w:val="en-US" w:eastAsia="zh-CN"/>
              </w:rPr>
            </w:pPr>
            <w:r>
              <w:rPr>
                <w:rFonts w:hint="eastAsia"/>
                <w:lang w:val="en-US" w:eastAsia="zh-CN"/>
              </w:rPr>
              <w:t>检查报告同步接口</w:t>
            </w:r>
          </w:p>
          <w:p>
            <w:pPr>
              <w:widowControl/>
              <w:rPr>
                <w:rFonts w:hint="eastAsia"/>
                <w:lang w:val="en-US" w:eastAsia="zh-CN"/>
              </w:rPr>
            </w:pPr>
            <w:r>
              <w:rPr>
                <w:rFonts w:hint="eastAsia"/>
                <w:lang w:val="en-US" w:eastAsia="zh-CN"/>
              </w:rPr>
              <w:t>检验报告同步接口</w:t>
            </w:r>
          </w:p>
          <w:p>
            <w:pPr>
              <w:widowControl/>
              <w:rPr>
                <w:rFonts w:hint="eastAsia"/>
                <w:lang w:val="en-US" w:eastAsia="zh-CN"/>
              </w:rPr>
            </w:pPr>
            <w:r>
              <w:rPr>
                <w:rFonts w:hint="eastAsia"/>
                <w:lang w:val="en-US" w:eastAsia="zh-CN"/>
              </w:rPr>
              <w:t>项目确费标记同步接口</w:t>
            </w:r>
          </w:p>
          <w:p>
            <w:pPr>
              <w:widowControl/>
              <w:rPr>
                <w:rFonts w:hint="eastAsia"/>
                <w:lang w:val="en-US" w:eastAsia="zh-CN"/>
              </w:rPr>
            </w:pPr>
            <w:r>
              <w:rPr>
                <w:rFonts w:hint="eastAsia"/>
                <w:lang w:val="en-US" w:eastAsia="zh-CN"/>
              </w:rPr>
              <w:t>检验回传采集时间接口</w:t>
            </w:r>
          </w:p>
          <w:p>
            <w:pPr>
              <w:widowControl/>
              <w:rPr>
                <w:rFonts w:hint="eastAsia"/>
                <w:lang w:val="en-US" w:eastAsia="zh-CN"/>
              </w:rPr>
            </w:pPr>
            <w:r>
              <w:rPr>
                <w:rFonts w:hint="eastAsia"/>
                <w:lang w:val="en-US" w:eastAsia="zh-CN"/>
              </w:rPr>
              <w:t>退费项目取消医嘱登记接</w:t>
            </w:r>
          </w:p>
          <w:p>
            <w:pPr>
              <w:widowControl/>
              <w:rPr>
                <w:rFonts w:hint="eastAsia"/>
                <w:lang w:val="en-US" w:eastAsia="zh-CN"/>
              </w:rPr>
            </w:pPr>
            <w:r>
              <w:rPr>
                <w:rFonts w:hint="eastAsia"/>
                <w:lang w:val="en-US" w:eastAsia="zh-CN"/>
              </w:rPr>
              <w:t>接口调试、数据测试</w:t>
            </w:r>
          </w:p>
          <w:p>
            <w:pPr>
              <w:pStyle w:val="2"/>
              <w:rPr>
                <w:rFonts w:hint="eastAsia"/>
                <w:lang w:val="en-US" w:eastAsia="zh-CN"/>
              </w:rPr>
            </w:pPr>
            <w:r>
              <w:rPr>
                <w:rFonts w:hint="eastAsia"/>
                <w:lang w:val="en-US" w:eastAsia="zh-CN"/>
              </w:rPr>
              <w:t>门诊开票接口</w:t>
            </w:r>
          </w:p>
          <w:p>
            <w:pPr>
              <w:pStyle w:val="2"/>
              <w:rPr>
                <w:rFonts w:hint="eastAsia"/>
                <w:lang w:val="en-US" w:eastAsia="zh-CN"/>
              </w:rPr>
            </w:pPr>
            <w:r>
              <w:rPr>
                <w:rFonts w:hint="eastAsia"/>
                <w:lang w:val="en-US" w:eastAsia="zh-CN"/>
              </w:rPr>
              <w:t>发票冲红接口</w:t>
            </w:r>
          </w:p>
          <w:p>
            <w:pPr>
              <w:pStyle w:val="2"/>
              <w:rPr>
                <w:rFonts w:hint="eastAsia"/>
                <w:lang w:val="en-US" w:eastAsia="zh-CN"/>
              </w:rPr>
            </w:pPr>
            <w:r>
              <w:rPr>
                <w:rFonts w:hint="eastAsia"/>
                <w:lang w:val="en-US" w:eastAsia="zh-CN"/>
              </w:rPr>
              <w:t>发票记录管理</w:t>
            </w:r>
          </w:p>
          <w:p>
            <w:pPr>
              <w:pStyle w:val="2"/>
              <w:rPr>
                <w:rFonts w:hint="eastAsia"/>
                <w:lang w:val="en-US" w:eastAsia="zh-CN"/>
              </w:rPr>
            </w:pPr>
            <w:r>
              <w:rPr>
                <w:rFonts w:hint="eastAsia"/>
                <w:lang w:val="en-US" w:eastAsia="zh-CN"/>
              </w:rPr>
              <w:t>发票信息配置管理</w:t>
            </w:r>
          </w:p>
          <w:p>
            <w:pPr>
              <w:pStyle w:val="2"/>
              <w:rPr>
                <w:rFonts w:hint="eastAsia"/>
                <w:lang w:val="en-US" w:eastAsia="zh-CN"/>
              </w:rPr>
            </w:pPr>
            <w:r>
              <w:rPr>
                <w:rFonts w:hint="eastAsia"/>
                <w:lang w:val="en-US" w:eastAsia="zh-CN"/>
              </w:rPr>
              <w:t>搭建接口功能模块</w:t>
            </w:r>
          </w:p>
          <w:p>
            <w:pPr>
              <w:pStyle w:val="2"/>
              <w:rPr>
                <w:rFonts w:hint="eastAsia"/>
                <w:lang w:val="en-US" w:eastAsia="zh-CN"/>
              </w:rPr>
            </w:pPr>
            <w:r>
              <w:rPr>
                <w:rFonts w:hint="eastAsia"/>
                <w:lang w:val="en-US" w:eastAsia="zh-CN"/>
              </w:rPr>
              <w:t>增加HTTPS协议项目部署</w:t>
            </w:r>
          </w:p>
          <w:p>
            <w:pPr>
              <w:pStyle w:val="2"/>
              <w:rPr>
                <w:rFonts w:hint="eastAsia"/>
                <w:lang w:val="en-US" w:eastAsia="zh-CN"/>
              </w:rPr>
            </w:pPr>
            <w:r>
              <w:rPr>
                <w:rFonts w:hint="eastAsia"/>
                <w:lang w:val="en-US" w:eastAsia="zh-CN"/>
              </w:rPr>
              <w:t>按日期获取体检名单接口</w:t>
            </w:r>
          </w:p>
          <w:p>
            <w:pPr>
              <w:pStyle w:val="2"/>
              <w:rPr>
                <w:rFonts w:hint="eastAsia"/>
                <w:lang w:val="en-US" w:eastAsia="zh-CN"/>
              </w:rPr>
            </w:pPr>
            <w:r>
              <w:rPr>
                <w:rFonts w:hint="eastAsia"/>
                <w:lang w:val="en-US" w:eastAsia="zh-CN"/>
              </w:rPr>
              <w:t>查询单个体检预约记录接口</w:t>
            </w:r>
          </w:p>
          <w:p>
            <w:pPr>
              <w:pStyle w:val="2"/>
              <w:rPr>
                <w:rFonts w:hint="eastAsia"/>
                <w:lang w:val="en-US" w:eastAsia="zh-CN"/>
              </w:rPr>
            </w:pPr>
            <w:r>
              <w:rPr>
                <w:rFonts w:hint="eastAsia"/>
                <w:lang w:val="en-US" w:eastAsia="zh-CN"/>
              </w:rPr>
              <w:t>体检扣费接口</w:t>
            </w:r>
          </w:p>
          <w:p>
            <w:pPr>
              <w:pStyle w:val="2"/>
              <w:rPr>
                <w:rFonts w:hint="eastAsia"/>
                <w:lang w:val="en-US" w:eastAsia="zh-CN"/>
              </w:rPr>
            </w:pPr>
            <w:r>
              <w:rPr>
                <w:rFonts w:hint="eastAsia"/>
                <w:lang w:val="en-US" w:eastAsia="zh-CN"/>
              </w:rPr>
              <w:t>体检退费接口</w:t>
            </w:r>
          </w:p>
          <w:p>
            <w:pPr>
              <w:pStyle w:val="2"/>
              <w:rPr>
                <w:rFonts w:hint="eastAsia"/>
                <w:lang w:val="en-US" w:eastAsia="zh-CN"/>
              </w:rPr>
            </w:pPr>
            <w:r>
              <w:rPr>
                <w:rFonts w:hint="eastAsia"/>
                <w:lang w:val="en-US" w:eastAsia="zh-CN"/>
              </w:rPr>
              <w:t>体检中状态查询接口</w:t>
            </w:r>
          </w:p>
          <w:p>
            <w:pPr>
              <w:pStyle w:val="2"/>
              <w:rPr>
                <w:rFonts w:hint="eastAsia"/>
                <w:lang w:val="en-US" w:eastAsia="zh-CN"/>
              </w:rPr>
            </w:pPr>
            <w:r>
              <w:rPr>
                <w:rFonts w:hint="eastAsia"/>
                <w:lang w:val="en-US" w:eastAsia="zh-CN"/>
              </w:rPr>
              <w:t>体检完成接口</w:t>
            </w:r>
          </w:p>
          <w:p>
            <w:pPr>
              <w:pStyle w:val="2"/>
              <w:rPr>
                <w:rFonts w:hint="eastAsia"/>
                <w:lang w:val="en-US" w:eastAsia="zh-CN"/>
              </w:rPr>
            </w:pPr>
            <w:r>
              <w:rPr>
                <w:rFonts w:hint="eastAsia"/>
                <w:lang w:val="en-US" w:eastAsia="zh-CN"/>
              </w:rPr>
              <w:t>报告数据上传接口</w:t>
            </w:r>
          </w:p>
          <w:p>
            <w:pPr>
              <w:pStyle w:val="2"/>
              <w:rPr>
                <w:rFonts w:hint="eastAsia"/>
                <w:lang w:val="en-US" w:eastAsia="zh-CN"/>
              </w:rPr>
            </w:pPr>
            <w:r>
              <w:rPr>
                <w:rFonts w:hint="eastAsia"/>
                <w:lang w:val="en-US" w:eastAsia="zh-CN"/>
              </w:rPr>
              <w:t>报告PDF上传接口</w:t>
            </w:r>
          </w:p>
          <w:p>
            <w:pPr>
              <w:pStyle w:val="2"/>
              <w:rPr>
                <w:rFonts w:hint="eastAsia"/>
                <w:lang w:val="en-US" w:eastAsia="zh-CN"/>
              </w:rPr>
            </w:pPr>
            <w:r>
              <w:rPr>
                <w:rFonts w:hint="eastAsia"/>
                <w:lang w:val="en-US" w:eastAsia="zh-CN"/>
              </w:rPr>
              <w:t>试运行测试上线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dxa"/>
            <w:vAlign w:val="center"/>
          </w:tcPr>
          <w:p>
            <w:pPr>
              <w:widowControl/>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p>
        </w:tc>
        <w:tc>
          <w:tcPr>
            <w:tcW w:w="1801" w:type="dxa"/>
            <w:vAlign w:val="center"/>
          </w:tcPr>
          <w:p>
            <w:pPr>
              <w:widowControl/>
              <w:jc w:val="center"/>
              <w:rPr>
                <w:rFonts w:hint="eastAsia" w:ascii="仿宋_GB2312" w:hAnsi="仿宋_GB2312" w:eastAsia="仿宋_GB2312" w:cs="仿宋_GB2312"/>
                <w:kern w:val="2"/>
                <w:sz w:val="28"/>
                <w:szCs w:val="28"/>
                <w:lang w:val="en-US" w:eastAsia="zh-CN" w:bidi="ar-SA"/>
              </w:rPr>
            </w:pPr>
          </w:p>
        </w:tc>
        <w:tc>
          <w:tcPr>
            <w:tcW w:w="735" w:type="dxa"/>
            <w:vAlign w:val="center"/>
          </w:tcPr>
          <w:p>
            <w:pPr>
              <w:widowControl/>
              <w:jc w:val="center"/>
              <w:rPr>
                <w:rFonts w:hint="eastAsia" w:ascii="仿宋_GB2312" w:hAnsi="仿宋_GB2312" w:eastAsia="仿宋_GB2312" w:cs="仿宋_GB2312"/>
                <w:kern w:val="2"/>
                <w:sz w:val="28"/>
                <w:szCs w:val="28"/>
                <w:lang w:val="en-US" w:eastAsia="zh-CN" w:bidi="ar-SA"/>
              </w:rPr>
            </w:pPr>
          </w:p>
        </w:tc>
        <w:tc>
          <w:tcPr>
            <w:tcW w:w="539" w:type="dxa"/>
            <w:vAlign w:val="center"/>
          </w:tcPr>
          <w:p>
            <w:pPr>
              <w:widowControl/>
              <w:jc w:val="center"/>
              <w:rPr>
                <w:rFonts w:hint="eastAsia" w:ascii="仿宋_GB2312" w:hAnsi="仿宋_GB2312" w:eastAsia="仿宋_GB2312" w:cs="仿宋_GB2312"/>
                <w:kern w:val="2"/>
                <w:sz w:val="28"/>
                <w:szCs w:val="28"/>
                <w:lang w:val="en-US" w:eastAsia="zh-CN" w:bidi="ar-SA"/>
              </w:rPr>
            </w:pPr>
          </w:p>
        </w:tc>
        <w:tc>
          <w:tcPr>
            <w:tcW w:w="4170" w:type="dxa"/>
            <w:vAlign w:val="center"/>
          </w:tcPr>
          <w:p>
            <w:pPr>
              <w:widowControl/>
              <w:rPr>
                <w:rFonts w:hint="eastAsia" w:ascii="仿宋_GB2312" w:hAnsi="仿宋_GB2312" w:eastAsia="仿宋_GB2312" w:cs="仿宋_GB2312"/>
                <w:kern w:val="2"/>
                <w:sz w:val="28"/>
                <w:szCs w:val="28"/>
                <w:lang w:val="en-US" w:eastAsia="zh-CN" w:bidi="ar-SA"/>
              </w:rPr>
            </w:pPr>
          </w:p>
        </w:tc>
      </w:tr>
    </w:tbl>
    <w:p>
      <w:pPr>
        <w:bidi w:val="0"/>
        <w:spacing w:line="48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注：</w:t>
      </w:r>
    </w:p>
    <w:p>
      <w:pPr>
        <w:spacing w:line="48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1、签订合同后，七日内到货并完成安装。</w:t>
      </w:r>
    </w:p>
    <w:p>
      <w:pPr>
        <w:spacing w:line="48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2、除文件中所明确的技术规格和品牌外，欢迎其他能满足本项目技术需求且性能相当于或高于所明确品牌的产品参加。同时在技术偏离表中作出详细对比说明。</w:t>
      </w:r>
    </w:p>
    <w:p>
      <w:pPr>
        <w:spacing w:line="48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3、如技术要求中未特别注明需执行的国家相关标准、行业标准、地方标准或者其他标准、规范，则统一执行最新标准、规范。</w:t>
      </w:r>
    </w:p>
    <w:p>
      <w:pPr>
        <w:bidi w:val="0"/>
        <w:spacing w:line="480" w:lineRule="auto"/>
        <w:ind w:firstLine="482" w:firstLineChars="200"/>
        <w:rPr>
          <w:rFonts w:hint="eastAsia"/>
          <w:b/>
          <w:bCs/>
          <w:sz w:val="24"/>
          <w:szCs w:val="24"/>
        </w:rPr>
      </w:pPr>
      <w:r>
        <w:rPr>
          <w:rFonts w:hint="eastAsia"/>
          <w:b/>
          <w:bCs/>
          <w:sz w:val="24"/>
          <w:szCs w:val="24"/>
          <w:lang w:val="en-US" w:eastAsia="zh-CN"/>
        </w:rPr>
        <w:t>六、</w:t>
      </w:r>
      <w:r>
        <w:rPr>
          <w:rFonts w:hint="eastAsia"/>
          <w:b/>
          <w:bCs/>
          <w:sz w:val="24"/>
          <w:szCs w:val="24"/>
        </w:rPr>
        <w:t>供应商资格条件：</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2.未被信用中国网站（www.creditchina.gov.cn）列入失信被执行人、重大税收违法案件当事人名单；未被中国政府采购网（www.ccgp.gov.cn）列入政府采购严重违法失信行为记录名单。</w:t>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3.提供投标供应商有效的营业执照</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七、质量及服务要求：</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服务方提供周一至周日7×24小时的电话支持和现场响应服务，针对所升级设备发生的宕机等重大故障，服务方要在接到甲方报修电话后30分钟内响应，并在1小时内到达现场。</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安全服务要求：</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八、验收标准：</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由买方或其指定单位组织人员进行系统、检测验收，卖方应派检查人员到现场参加检验工作。如发现功能缺陷、系统故障、的问题，买卖双方检验人员应作详细记录，并由买卖双方代表签字。</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提交实施服务报告。</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系统运行状态检查。</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九、交付使用期及合同履行期：</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合同签订之日起</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日内交付使用并完成验收。合同履行期为验收合格之日起</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十、付款方式及</w:t>
      </w:r>
      <w:r>
        <w:rPr>
          <w:rFonts w:hint="eastAsia" w:ascii="仿宋_GB2312" w:hAnsi="仿宋_GB2312" w:eastAsia="仿宋_GB2312" w:cs="仿宋_GB2312"/>
          <w:b/>
          <w:bCs/>
          <w:sz w:val="28"/>
          <w:szCs w:val="28"/>
          <w:lang w:val="en-US" w:eastAsia="zh-CN"/>
        </w:rPr>
        <w:t>质量</w:t>
      </w:r>
      <w:r>
        <w:rPr>
          <w:rFonts w:hint="eastAsia" w:ascii="仿宋_GB2312" w:hAnsi="仿宋_GB2312" w:eastAsia="仿宋_GB2312" w:cs="仿宋_GB2312"/>
          <w:b/>
          <w:bCs/>
          <w:sz w:val="28"/>
          <w:szCs w:val="28"/>
        </w:rPr>
        <w:t>保证金：</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验收合格后一次性支付项目合同款</w:t>
      </w:r>
      <w:r>
        <w:rPr>
          <w:rFonts w:hint="eastAsia" w:ascii="仿宋_GB2312" w:hAnsi="仿宋_GB2312" w:eastAsia="仿宋_GB2312" w:cs="仿宋_GB2312"/>
          <w:sz w:val="28"/>
          <w:szCs w:val="28"/>
          <w:lang w:val="en-US" w:eastAsia="zh-CN"/>
        </w:rPr>
        <w:t>95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供应商需留存质量</w:t>
      </w:r>
      <w:r>
        <w:rPr>
          <w:rFonts w:hint="eastAsia" w:ascii="仿宋_GB2312" w:hAnsi="仿宋_GB2312" w:eastAsia="仿宋_GB2312" w:cs="仿宋_GB2312"/>
          <w:sz w:val="28"/>
          <w:szCs w:val="28"/>
        </w:rPr>
        <w:t>保证金合同总价的5%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采购单位验收合格且</w:t>
      </w:r>
      <w:r>
        <w:rPr>
          <w:rFonts w:hint="eastAsia" w:ascii="仿宋_GB2312" w:hAnsi="仿宋_GB2312" w:eastAsia="仿宋_GB2312" w:cs="仿宋_GB2312"/>
          <w:sz w:val="28"/>
          <w:szCs w:val="28"/>
          <w:lang w:val="en-US" w:eastAsia="zh-CN"/>
        </w:rPr>
        <w:t>质保期</w:t>
      </w:r>
      <w:r>
        <w:rPr>
          <w:rFonts w:hint="eastAsia" w:ascii="仿宋_GB2312" w:hAnsi="仿宋_GB2312" w:eastAsia="仿宋_GB2312" w:cs="仿宋_GB2312"/>
          <w:sz w:val="28"/>
          <w:szCs w:val="28"/>
        </w:rPr>
        <w:t>满后，无质量问题</w:t>
      </w:r>
      <w:r>
        <w:rPr>
          <w:rFonts w:hint="eastAsia" w:ascii="仿宋_GB2312" w:hAnsi="仿宋_GB2312" w:eastAsia="仿宋_GB2312" w:cs="仿宋_GB2312"/>
          <w:sz w:val="28"/>
          <w:szCs w:val="28"/>
          <w:lang w:val="en-US" w:eastAsia="zh-CN"/>
        </w:rPr>
        <w:t>将质量</w:t>
      </w:r>
      <w:r>
        <w:rPr>
          <w:rFonts w:hint="eastAsia" w:ascii="仿宋_GB2312" w:hAnsi="仿宋_GB2312" w:eastAsia="仿宋_GB2312" w:cs="仿宋_GB2312"/>
          <w:sz w:val="28"/>
          <w:szCs w:val="28"/>
        </w:rPr>
        <w:t>保证金无息退还给供应商。</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十一、投标文件格式：</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有意投标者请将投标资料密封在信封或档案袋内（投标书封面，要求写明文件名称、投标单位名称（盖章）、地址、投标单位法定代表人（签字或盖章），投标单位联系人，联系电话），提供原件的需单独密封。</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标书要求：一本正本、三本副本均加盖公章，装订方式为胶装。</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标书封面须有以下内容（1）投标公司全称及正本或副本标识</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（2）投标公司联系人及联系方式    </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投标文件包含项目：     </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（1）提供有效的营业执照副本（加盖公章）</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（2）法定代表人身份证（法定代表人参会时提供）。如参会代表不是法定代表人的，须附有授权委托书，法定代表人身份证及授权代表身份证。</w:t>
      </w:r>
      <w:r>
        <w:rPr>
          <w:rFonts w:hint="eastAsia" w:ascii="仿宋_GB2312" w:hAnsi="仿宋_GB2312" w:eastAsia="仿宋_GB2312" w:cs="仿宋_GB2312"/>
          <w:sz w:val="28"/>
          <w:szCs w:val="28"/>
          <w:lang w:val="en-US" w:eastAsia="zh-CN"/>
        </w:rPr>
        <w:t>授权代表需提供社保证明。</w:t>
      </w:r>
      <w:r>
        <w:rPr>
          <w:rFonts w:hint="eastAsia" w:ascii="仿宋_GB2312" w:hAnsi="仿宋_GB2312" w:eastAsia="仿宋_GB2312" w:cs="仿宋_GB2312"/>
          <w:sz w:val="28"/>
          <w:szCs w:val="28"/>
        </w:rPr>
        <w:t>（加盖公章）</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（3）报价明细单（加盖公章）</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提供投标截止日前6个月内任意1个月依法缴纳税收和社会保障资金的相关材料。或不需要缴纳社会保障资金的，提供相应证明材料（加盖公章）</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（5）诚信竞争承诺书。（加盖公章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格式自定）</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（6）提供本单位的参加政府采购活动前3年内在经营活动中没有重大违法记录的书面声明（加盖公章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格式自定）。</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（7）响应资料无弄虚作假声明。如发现资料为虚假资料，将取消响应资格，且供应商自行承担法律责任（加盖公章，格式自定）。</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）未被信用中国网站（www.creditchina.gov.cn）列入失信被执行人、重大税收违法案件当事人名单；未被中国政府采购网（www.ccgp.gov.cn）列入政府采购严重违法失信行为记录名单。</w:t>
      </w:r>
      <w:r>
        <w:rPr>
          <w:rFonts w:hint="eastAsia" w:ascii="仿宋_GB2312" w:hAnsi="仿宋_GB2312" w:eastAsia="仿宋_GB2312" w:cs="仿宋_GB2312"/>
          <w:sz w:val="28"/>
          <w:szCs w:val="28"/>
          <w:lang w:val="en-US" w:eastAsia="zh-CN"/>
        </w:rPr>
        <w:t>提供网站查询截图</w:t>
      </w:r>
      <w:r>
        <w:rPr>
          <w:rFonts w:hint="eastAsia" w:ascii="仿宋_GB2312" w:hAnsi="仿宋_GB2312" w:eastAsia="仿宋_GB2312" w:cs="仿宋_GB2312"/>
          <w:sz w:val="28"/>
          <w:szCs w:val="28"/>
        </w:rPr>
        <w:t>。（加盖公章，格式自定）</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eastAsia="仿宋_GB2312"/>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技术文档中</w:t>
      </w:r>
      <w:r>
        <w:rPr>
          <w:rFonts w:hint="eastAsia" w:ascii="仿宋_GB2312" w:hAnsi="仿宋_GB2312" w:eastAsia="仿宋_GB2312" w:cs="仿宋_GB2312"/>
          <w:sz w:val="28"/>
          <w:szCs w:val="28"/>
          <w:lang w:eastAsia="zh-CN"/>
        </w:rPr>
        <w:t>明确所投标的的产品品牌、规格型号或服务内容或工程量； 投标文件应当对招标文件提出的要求和条件作出明确响应并满足招标文件全部实质性要求。</w:t>
      </w:r>
      <w:r>
        <w:rPr>
          <w:rFonts w:hint="eastAsia" w:ascii="仿宋_GB2312" w:hAnsi="仿宋_GB2312" w:eastAsia="仿宋_GB2312" w:cs="仿宋_GB2312"/>
          <w:sz w:val="28"/>
          <w:szCs w:val="28"/>
        </w:rPr>
        <w:t>（加盖公章，格式自定）</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十二、报名须知：   </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本项目采购公告发出后，如有变更（如：变更通知、有关问题答复、质疑答复等相关文件），将在“大庆市人民医院网站”告知，转载无效，所有参与本项目投标的供应商，供应商应主动查看。 </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 xml:space="preserve">本项目不设资格预审，供应商应详细阅读本公告，符合条件即可参与。参标供应商按照要求将所有资质证明资料提供到开标会现场，由评委小组审查，经评审不符合条件者投标无效。 </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如有质疑，请以书面形式提出并附营业执照复印件及法人身份证复印件，其它形式采购方均不受理。</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招标谈判价格及中标价格都为税后价格。</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5.公告期：2023年6月16日到2023年6月25</w:t>
      </w:r>
      <w:bookmarkStart w:id="0" w:name="_GoBack"/>
      <w:bookmarkEnd w:id="0"/>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开 标 地 址：大庆市人民医院（如遇特殊情况另行通知）</w:t>
      </w:r>
    </w:p>
    <w:p>
      <w:pPr>
        <w:keepNext w:val="0"/>
        <w:keepLines w:val="0"/>
        <w:pageBreakBefore w:val="0"/>
        <w:widowControl w:val="0"/>
        <w:kinsoku/>
        <w:wordWrap/>
        <w:overflowPunct/>
        <w:topLinePunct w:val="0"/>
        <w:autoSpaceDE/>
        <w:autoSpaceDN/>
        <w:bidi w:val="0"/>
        <w:snapToGrid/>
        <w:spacing w:line="600" w:lineRule="exact"/>
        <w:ind w:firstLine="660"/>
        <w:jc w:val="lef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 xml:space="preserve">  开 标 时 间：</w:t>
      </w:r>
      <w:r>
        <w:rPr>
          <w:rFonts w:hint="default"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val="en-US" w:eastAsia="zh-CN"/>
        </w:rPr>
        <w:t>另行通知</w:t>
      </w:r>
      <w:r>
        <w:rPr>
          <w:rFonts w:hint="default" w:ascii="仿宋_GB2312" w:hAnsi="仿宋_GB2312" w:eastAsia="仿宋_GB2312" w:cs="仿宋_GB2312"/>
          <w:sz w:val="28"/>
          <w:szCs w:val="28"/>
          <w:lang w:val="en-US"/>
        </w:rPr>
        <w:t>)</w:t>
      </w:r>
    </w:p>
    <w:p>
      <w:pPr>
        <w:keepNext w:val="0"/>
        <w:keepLines w:val="0"/>
        <w:pageBreakBefore w:val="0"/>
        <w:widowControl w:val="0"/>
        <w:numPr>
          <w:ilvl w:val="0"/>
          <w:numId w:val="1"/>
        </w:numPr>
        <w:kinsoku/>
        <w:wordWrap/>
        <w:overflowPunct/>
        <w:topLinePunct w:val="0"/>
        <w:autoSpaceDE/>
        <w:autoSpaceDN/>
        <w:bidi w:val="0"/>
        <w:snapToGrid/>
        <w:spacing w:line="600" w:lineRule="exact"/>
        <w:ind w:firstLine="66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投标代表（法人或法人授权人）请在开标时间前20分钟携带身份证到达会场签到（签到时查验身份证件）未按开标时间参加开标会议的将视为自动弃权。具体事项工作人员将通过报名表中移动电话进行告知。</w:t>
      </w:r>
    </w:p>
    <w:p>
      <w:pPr>
        <w:pStyle w:val="2"/>
        <w:numPr>
          <w:ilvl w:val="0"/>
          <w:numId w:val="0"/>
        </w:numPr>
      </w:pPr>
    </w:p>
    <w:p>
      <w:pPr>
        <w:pStyle w:val="2"/>
        <w:numPr>
          <w:ilvl w:val="0"/>
          <w:numId w:val="0"/>
        </w:num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6A156"/>
    <w:multiLevelType w:val="singleLevel"/>
    <w:tmpl w:val="05D6A15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274C36AC"/>
    <w:rsid w:val="03174096"/>
    <w:rsid w:val="050140F6"/>
    <w:rsid w:val="0680134C"/>
    <w:rsid w:val="09182F28"/>
    <w:rsid w:val="0B022976"/>
    <w:rsid w:val="0E760A58"/>
    <w:rsid w:val="0EA25227"/>
    <w:rsid w:val="0FDF5034"/>
    <w:rsid w:val="11FD7E64"/>
    <w:rsid w:val="16146162"/>
    <w:rsid w:val="1666025D"/>
    <w:rsid w:val="16775FC6"/>
    <w:rsid w:val="16CF4C05"/>
    <w:rsid w:val="1991739F"/>
    <w:rsid w:val="1D1D61ED"/>
    <w:rsid w:val="1DBF33D6"/>
    <w:rsid w:val="25511304"/>
    <w:rsid w:val="25CD79B1"/>
    <w:rsid w:val="274C36AC"/>
    <w:rsid w:val="28821F99"/>
    <w:rsid w:val="2A816FBC"/>
    <w:rsid w:val="2C365656"/>
    <w:rsid w:val="2C445632"/>
    <w:rsid w:val="2FAC6889"/>
    <w:rsid w:val="32181D00"/>
    <w:rsid w:val="32F24260"/>
    <w:rsid w:val="3332035D"/>
    <w:rsid w:val="354457B6"/>
    <w:rsid w:val="35692C47"/>
    <w:rsid w:val="369F6410"/>
    <w:rsid w:val="39AD1B7B"/>
    <w:rsid w:val="3B0E03F8"/>
    <w:rsid w:val="3B800BCA"/>
    <w:rsid w:val="3E001ACB"/>
    <w:rsid w:val="3F7E2D29"/>
    <w:rsid w:val="400E575F"/>
    <w:rsid w:val="44305883"/>
    <w:rsid w:val="48A95C04"/>
    <w:rsid w:val="4B9366F7"/>
    <w:rsid w:val="4DC0318A"/>
    <w:rsid w:val="4EA561F2"/>
    <w:rsid w:val="4EC240F1"/>
    <w:rsid w:val="4F037DBD"/>
    <w:rsid w:val="4F195FC5"/>
    <w:rsid w:val="4FFD7328"/>
    <w:rsid w:val="50695DFD"/>
    <w:rsid w:val="5452714F"/>
    <w:rsid w:val="54A57831"/>
    <w:rsid w:val="56DE65BB"/>
    <w:rsid w:val="57B123DF"/>
    <w:rsid w:val="593372DF"/>
    <w:rsid w:val="5BFA49A5"/>
    <w:rsid w:val="5CB5098F"/>
    <w:rsid w:val="5DC11AA1"/>
    <w:rsid w:val="5DD9376C"/>
    <w:rsid w:val="5E0F1C0D"/>
    <w:rsid w:val="615675DB"/>
    <w:rsid w:val="63116428"/>
    <w:rsid w:val="64E020F2"/>
    <w:rsid w:val="65BF660F"/>
    <w:rsid w:val="663A3EE7"/>
    <w:rsid w:val="670544F5"/>
    <w:rsid w:val="67BC4283"/>
    <w:rsid w:val="684E3579"/>
    <w:rsid w:val="68F159A6"/>
    <w:rsid w:val="69BB70ED"/>
    <w:rsid w:val="6C77221A"/>
    <w:rsid w:val="6C7C7008"/>
    <w:rsid w:val="6D1159A2"/>
    <w:rsid w:val="6DC13574"/>
    <w:rsid w:val="6F190B3E"/>
    <w:rsid w:val="6FC22CFB"/>
    <w:rsid w:val="70DF18D8"/>
    <w:rsid w:val="71867FE1"/>
    <w:rsid w:val="725F3A16"/>
    <w:rsid w:val="73F94DAE"/>
    <w:rsid w:val="77BA4C37"/>
    <w:rsid w:val="7C6D781C"/>
    <w:rsid w:val="7E9F2612"/>
    <w:rsid w:val="7EC62364"/>
    <w:rsid w:val="7EE21A6A"/>
    <w:rsid w:val="7F432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font21"/>
    <w:basedOn w:val="7"/>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2124</Words>
  <Characters>2237</Characters>
  <Lines>0</Lines>
  <Paragraphs>0</Paragraphs>
  <TotalTime>12</TotalTime>
  <ScaleCrop>false</ScaleCrop>
  <LinksUpToDate>false</LinksUpToDate>
  <CharactersWithSpaces>2289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2022-07-04T00:31:00Z</dcterms:created>
  <dc:creator>勇咣</dc:creator>
  <cp:lastModifiedBy>Administrator</cp:lastModifiedBy>
  <cp:lastPrinted>2022-07-11T06:35:00Z</cp:lastPrinted>
  <dcterms:modified xsi:type="dcterms:W3CDTF">2023-06-15T08:29:33Z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AF36CB19C1934B1F84B32EC38E050AEA</vt:lpwstr>
  </property>
</Properties>
</file>