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竞争性谈判公告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门诊药局迁址改造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4952"/>
      <w:bookmarkStart w:id="1" w:name="_Toc16963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0451"/>
      <w:bookmarkStart w:id="3" w:name="_Toc14517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RMYYGC-2023-03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门诊药局迁址改造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3、采购方式：竞争性谈判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，多轮报价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4" w:name="_Toc2781"/>
      <w:bookmarkStart w:id="5" w:name="_Toc22823"/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</w:t>
      </w:r>
      <w:bookmarkStart w:id="10" w:name="_GoBack"/>
      <w:bookmarkEnd w:id="10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70000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门诊药局迁址改造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工程是对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大庆市人民医院南院门诊药局进行迁址改造，工程建设内容包括：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需要拆除原有PVC地胶、拆除地面瓷砖、拆除部分墙体、拆除白钢窗、拆除棚板等，重新砌隔墙、地面贴瓷砖、重新吊棚、安装门、墙面刮大白、强弱电改造、新建卫生间及安装理石台面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等，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详细工程量见清单。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供应商需要无条件配合建设单位的相关要求；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供应商需考虑材料垂直运输及现场材料堆放问题；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；安全防护搭设必须满足相关主管部门搭设要求及安全标准，对施工过程中所遇到的修补及完善等因素，必须达到施工验收标准且需自行考虑全面，不再另行计取费用，保质、保量完成所有施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、付款方式：在合同中约定。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0"/>
          <w:szCs w:val="30"/>
        </w:rPr>
        <w:t>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  <w:bookmarkStart w:id="7" w:name="_Toc28359014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项目经理缴纳社保的承诺书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提供项目机构成员为均为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本单位在职员工的承诺书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8" w:name="_Toc35393800"/>
      <w:bookmarkEnd w:id="8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无违法失信行为证明文件（信用中国截图）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9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自本公告发布之日起3个工作日。</w:t>
      </w:r>
    </w:p>
    <w:bookmarkEnd w:id="9"/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履约保证金缴纳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中标单位须缴纳履约保证金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20000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元人民币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，或提供相应金额履约保函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账户名称：大庆市人民医院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开户银行：龙江银行大庆市开发区支行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账号：04010120002000734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</w:t>
      </w:r>
      <w:r>
        <w:rPr>
          <w:rFonts w:hint="eastAsia" w:ascii="Times New Roman" w:eastAsia="宋体" w:cs="Times New Roman"/>
          <w:sz w:val="30"/>
          <w:szCs w:val="30"/>
          <w:lang w:eastAsia="zh-CN"/>
        </w:rPr>
        <w:t>先生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jA0NmVkMGVjNzZmMTgwYTZlZTJhNGNiYmViMzgifQ=="/>
  </w:docVars>
  <w:rsids>
    <w:rsidRoot w:val="00000000"/>
    <w:rsid w:val="00A67BD8"/>
    <w:rsid w:val="06385FC4"/>
    <w:rsid w:val="11C449B6"/>
    <w:rsid w:val="3C71734B"/>
    <w:rsid w:val="3F1F5601"/>
    <w:rsid w:val="40D82226"/>
    <w:rsid w:val="452007D7"/>
    <w:rsid w:val="575A0038"/>
    <w:rsid w:val="75A27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2123</Words>
  <Characters>2264</Characters>
  <Lines>19</Lines>
  <Paragraphs>5</Paragraphs>
  <TotalTime>0</TotalTime>
  <ScaleCrop>false</ScaleCrop>
  <LinksUpToDate>false</LinksUpToDate>
  <CharactersWithSpaces>2271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Administrator</cp:lastModifiedBy>
  <cp:lastPrinted>2023-07-13T01:32:00Z</cp:lastPrinted>
  <dcterms:modified xsi:type="dcterms:W3CDTF">2023-07-14T01:39:01Z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BAC4DD2596BE490AB888B9A44120B9EF</vt:lpwstr>
  </property>
</Properties>
</file>