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rPr>
        <w:t>大庆市人民医院</w:t>
      </w:r>
      <w:r>
        <w:rPr>
          <w:rFonts w:hint="eastAsia" w:ascii="仿宋_GB2312" w:hAnsi="仿宋_GB2312" w:eastAsia="仿宋_GB2312" w:cs="仿宋_GB2312"/>
          <w:b/>
          <w:bCs/>
          <w:sz w:val="36"/>
          <w:szCs w:val="36"/>
          <w:highlight w:val="none"/>
          <w:lang w:val="en-US" w:eastAsia="zh-CN"/>
        </w:rPr>
        <w:t>互联网医院</w:t>
      </w:r>
      <w:r>
        <w:rPr>
          <w:rFonts w:hint="eastAsia" w:ascii="仿宋_GB2312" w:hAnsi="仿宋_GB2312" w:eastAsia="仿宋_GB2312" w:cs="仿宋_GB2312"/>
          <w:b/>
          <w:bCs/>
          <w:sz w:val="36"/>
          <w:szCs w:val="36"/>
          <w:highlight w:val="none"/>
        </w:rPr>
        <w:t>安全保护等级评测</w:t>
      </w:r>
      <w:r>
        <w:rPr>
          <w:rFonts w:hint="eastAsia" w:ascii="仿宋_GB2312" w:hAnsi="仿宋_GB2312" w:eastAsia="仿宋_GB2312" w:cs="仿宋_GB2312"/>
          <w:b/>
          <w:bCs/>
          <w:sz w:val="36"/>
          <w:szCs w:val="36"/>
          <w:highlight w:val="none"/>
          <w:lang w:val="en-US" w:eastAsia="zh-CN"/>
        </w:rPr>
        <w:t>服务项目</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二、项目名称：大庆市人民医院互联网医院安全保护等级评测服务项目</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编号:</w:t>
      </w:r>
      <w:r>
        <w:rPr>
          <w:rFonts w:hint="eastAsia" w:ascii="仿宋_GB2312" w:hAnsi="仿宋_GB2312" w:eastAsia="仿宋_GB2312" w:cs="仿宋_GB2312"/>
          <w:b/>
          <w:bCs/>
          <w:sz w:val="28"/>
          <w:szCs w:val="28"/>
          <w:highlight w:val="none"/>
          <w:lang w:val="en-US" w:eastAsia="zh-CN"/>
        </w:rPr>
        <w:t>XXZX2023007</w:t>
      </w:r>
      <w:r>
        <w:rPr>
          <w:rFonts w:hint="eastAsia" w:ascii="仿宋_GB2312" w:hAnsi="仿宋_GB2312" w:eastAsia="仿宋_GB2312" w:cs="仿宋_GB2312"/>
          <w:b/>
          <w:bCs/>
          <w:sz w:val="28"/>
          <w:szCs w:val="28"/>
          <w:highlight w:val="none"/>
        </w:rPr>
        <w:t>）</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100000</w:t>
      </w:r>
      <w:r>
        <w:rPr>
          <w:rFonts w:hint="eastAsia" w:ascii="仿宋_GB2312" w:hAnsi="仿宋_GB2312" w:eastAsia="仿宋_GB2312" w:cs="仿宋_GB2312"/>
          <w:b/>
          <w:bCs/>
          <w:sz w:val="28"/>
          <w:szCs w:val="28"/>
          <w:highlight w:val="none"/>
        </w:rPr>
        <w:t>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801"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735"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539"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4170"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801" w:type="dxa"/>
            <w:vAlign w:val="center"/>
          </w:tcPr>
          <w:p>
            <w:pPr>
              <w:widowControl/>
              <w:jc w:val="center"/>
              <w:rPr>
                <w:rFonts w:ascii="仿宋_GB2312" w:hAnsi="仿宋_GB2312" w:eastAsia="仿宋_GB2312" w:cs="仿宋_GB2312"/>
                <w:color w:val="auto"/>
                <w:szCs w:val="21"/>
                <w:highlight w:val="none"/>
              </w:rPr>
            </w:pPr>
            <w:r>
              <w:rPr>
                <w:rFonts w:hint="eastAsia" w:ascii="微软雅黑" w:hAnsi="微软雅黑" w:eastAsia="微软雅黑" w:cs="微软雅黑"/>
                <w:color w:val="auto"/>
                <w:sz w:val="18"/>
                <w:szCs w:val="18"/>
                <w:highlight w:val="none"/>
                <w:lang w:val="en-US" w:eastAsia="zh-CN"/>
              </w:rPr>
              <w:t>互联网医院</w:t>
            </w:r>
            <w:r>
              <w:rPr>
                <w:rFonts w:ascii="微软雅黑" w:hAnsi="微软雅黑" w:eastAsia="微软雅黑" w:cs="微软雅黑"/>
                <w:color w:val="auto"/>
                <w:sz w:val="18"/>
                <w:szCs w:val="18"/>
                <w:highlight w:val="none"/>
              </w:rPr>
              <w:t>网络安全等级保护三级</w:t>
            </w:r>
          </w:p>
        </w:tc>
        <w:tc>
          <w:tcPr>
            <w:tcW w:w="735" w:type="dxa"/>
            <w:vAlign w:val="center"/>
          </w:tcPr>
          <w:p>
            <w:pPr>
              <w:widowControl/>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539" w:type="dxa"/>
            <w:vAlign w:val="center"/>
          </w:tcPr>
          <w:p>
            <w:pPr>
              <w:widowControl/>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170" w:type="dxa"/>
            <w:vAlign w:val="top"/>
          </w:tcPr>
          <w:p>
            <w:pPr>
              <w:pStyle w:val="11"/>
              <w:numPr>
                <w:ilvl w:val="0"/>
                <w:numId w:val="1"/>
              </w:numPr>
              <w:rPr>
                <w:rFonts w:hint="eastAsia"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投标人须在全国网络安全等级测评与检测评估机构目录中，并具备公安部第三研究所认证发放的《网络安全等级测评与检测评估机构服务认证证书》（复印件加盖公章）；</w:t>
            </w:r>
          </w:p>
          <w:p>
            <w:pPr>
              <w:pStyle w:val="11"/>
              <w:numPr>
                <w:ilvl w:val="0"/>
                <w:numId w:val="1"/>
              </w:numPr>
              <w:rPr>
                <w:rFonts w:ascii="微软雅黑" w:hAnsi="微软雅黑" w:eastAsia="微软雅黑" w:cs="微软雅黑"/>
                <w:color w:val="auto"/>
                <w:kern w:val="0"/>
                <w:sz w:val="18"/>
                <w:szCs w:val="18"/>
                <w:highlight w:val="none"/>
                <w:lang w:bidi="ar"/>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要求投标人具有中国信息安全测评中心颁发的国家信息安全漏洞库（CNNVD）技术支撑单位证书；</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需严格依据《 网络安全等级保护基本要求》对业务系统开展基于等保2.0的三级等保测评工作；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需根据系统定级情况以及系统建设情况，协助采购单位起草等保备案材料并完成相关系统在公安机关的备案工作，取得《备案证明》。</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需从安全物理环境、安全通信网络、安全区域边界、安全计算环境、安全管理中心、安全管理制度、安全管理机构、安全管理人员、安全建设管理、安全运维管理等10个安全层面开展测评工作；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依据《网络安全等级保护测评过程指南》，从测评准备工作、方案编制工作、现场测评工作、分析与报告编制工作四个方面制定测评工作流程；</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需严格依据《GB/T28449-2018信息安全技术 网络安全等级保护测评过程指南》开展现场测评工作，测评方法包括但不限于访谈、核查、工具测试等内容；</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需在测评工作结束后，采购单位出具符合等保2.0测评要求的测评报告；</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以等保测评结果为依据，可针对采购单位重要系统安全现状出具《信息系统网络安全加固意见书》，并协助完成整改工作；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需配合产品厂商开展策略调整与加固工作。</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为确保供应商的服务水平和综合素质，供应商应从未被列入“网络安全等级保护网”（www.djbh.net）中中关村信息安全测评联盟或国家网络安全等级保护工作协调小组办公室发布的整改公告。供应商需提供上述承诺书，承诺书格式自拟。若服务供应商提供虚假承诺，招标人有权将该供应商纳入采购黑名单。</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承担本项目的主要人员要求：拟委任的项目人员需提供具备公安部信息安全等级保护评估中心颁发的重要信息系统安全等级保护培训证书，证书类别为CIIP-T。</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靠检测脚本和工具对信息资产进行检测，对被检测的信息资产进行全方位的配置检测，能够真实、全面地反映操作系统、网络设备、数据库、中间件和虚拟化设备中所存在的安全配置问题和面临的网络安全威胁。</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根据的实际需要，对确定的院内的安全设备、网络设备、服务器，以人工的方式，结合业务状况，进行策略的合理性和有效性检查，记录、保存检查结果。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根据实际需要对院内的服务器、数据库系统的日志，采用人工和自动化工具相结合的方式，对日志进行审计分析，记录保存日志审计结果。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括安全软硬件设备物理故障、策略故障的处理；客户端病毒故障的处理；安全事件处理及响应；故障知识库的建立更新。确保日常办公系统、业务系统的持续运行能力，并建立故障处理流程，规范故障处理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针对实际情况收集整理补丁更新通告，评估测试补丁更新的可行性和必要性，对重要关键补丁进行安全部署。并需要确认补丁不能影响业务应用。</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针对网络结构内的安全软硬件设备的策略配置进行指定、定期完善。确保安全软硬件设备的有效性以及策略的针对性。并建立策略变更流程，规范策略管理工作。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针对网络架构内的安全设备的攻击事件日志，进行实时监控。通过技术人员的安全经验，第一时间发现网络内的攻击事件，并对简单事件进行处理；如遇复杂事件，则发起调用应急响应服务等二线资源。</w:t>
            </w:r>
          </w:p>
          <w:p>
            <w:pPr>
              <w:pStyle w:val="11"/>
              <w:numPr>
                <w:ilvl w:val="0"/>
                <w:numId w:val="1"/>
              </w:numPr>
              <w:ind w:left="425" w:leftChars="0" w:hanging="425"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分析工程师现场分析，通过Web方式连接安全设备，对设备的安全事件进行分析，安全事件类型包括扫描行为、信息泄露、文件包含漏洞、SQL注入漏洞、XML注入漏洞、文件上传漏洞、命令执行漏洞、代码执行漏洞、webshell、非Web扫描、登录爆破、远控木马、勒索病毒、挖矿木马等，如在现场发现高危告警事件，在授权的情况下可进行验证并编制报告。</w:t>
            </w:r>
          </w:p>
        </w:tc>
      </w:tr>
    </w:tbl>
    <w:p>
      <w:pPr>
        <w:spacing w:line="48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1、签订合同后，</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日内完成</w:t>
      </w:r>
      <w:r>
        <w:rPr>
          <w:rFonts w:hint="eastAsia" w:ascii="仿宋_GB2312" w:hAnsi="仿宋_GB2312" w:eastAsia="仿宋_GB2312" w:cs="仿宋_GB2312"/>
          <w:sz w:val="28"/>
          <w:szCs w:val="28"/>
          <w:highlight w:val="none"/>
          <w:lang w:val="en-US" w:eastAsia="zh-CN"/>
        </w:rPr>
        <w:t>测评</w:t>
      </w:r>
      <w:r>
        <w:rPr>
          <w:rFonts w:hint="eastAsia" w:ascii="仿宋_GB2312" w:hAnsi="仿宋_GB2312" w:eastAsia="仿宋_GB2312" w:cs="仿宋_GB2312"/>
          <w:sz w:val="28"/>
          <w:szCs w:val="28"/>
          <w:highlight w:val="none"/>
        </w:rPr>
        <w:t>。</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必须</w:t>
      </w:r>
      <w:r>
        <w:rPr>
          <w:rFonts w:hint="eastAsia" w:ascii="仿宋_GB2312" w:hAnsi="仿宋_GB2312" w:eastAsia="仿宋_GB2312" w:cs="仿宋_GB2312"/>
          <w:color w:val="auto"/>
          <w:sz w:val="28"/>
          <w:szCs w:val="28"/>
          <w:highlight w:val="none"/>
        </w:rPr>
        <w:t>在全国网络安全等级测评与检测评估机构目录中，并具备公安部第三研究所认证发放的《网络安全等级测评与检测评估机构服务认证证书》</w:t>
      </w:r>
      <w:r>
        <w:rPr>
          <w:rFonts w:hint="eastAsia" w:ascii="仿宋_GB2312" w:hAnsi="仿宋_GB2312" w:eastAsia="仿宋_GB2312" w:cs="仿宋_GB2312"/>
          <w:color w:val="auto"/>
          <w:sz w:val="28"/>
          <w:szCs w:val="28"/>
          <w:highlight w:val="none"/>
          <w:lang w:eastAsia="zh-CN"/>
        </w:rPr>
        <w:t>。</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4、本项目不接受联合体投标。</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七、质量及服务要求：</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1.服务方提供周一至周日7×24小时的电话支持和现场响应服务，针对所升级设备发生的宕机等重大故障，服务方要在接到甲方报修电话后30分钟内响应，并在1小时内到达现场。</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2.安全服务要求：</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1.由</w:t>
      </w:r>
      <w:r>
        <w:rPr>
          <w:rFonts w:hint="eastAsia" w:ascii="仿宋_GB2312" w:hAnsi="仿宋_GB2312" w:eastAsia="仿宋_GB2312" w:cs="仿宋_GB2312"/>
          <w:color w:val="auto"/>
          <w:sz w:val="28"/>
          <w:szCs w:val="28"/>
          <w:highlight w:val="none"/>
          <w:lang w:val="en-US" w:eastAsia="zh-CN"/>
        </w:rPr>
        <w:t>乙方提供等保备案证明</w:t>
      </w:r>
      <w:r>
        <w:rPr>
          <w:rFonts w:hint="eastAsia" w:ascii="仿宋_GB2312" w:hAnsi="仿宋_GB2312" w:eastAsia="仿宋_GB2312" w:cs="仿宋_GB2312"/>
          <w:color w:val="auto"/>
          <w:sz w:val="28"/>
          <w:szCs w:val="28"/>
          <w:highlight w:val="none"/>
        </w:rPr>
        <w:t>。</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乙方提供合格的等保测评</w:t>
      </w:r>
      <w:r>
        <w:rPr>
          <w:rFonts w:hint="eastAsia" w:ascii="仿宋_GB2312" w:hAnsi="仿宋_GB2312" w:eastAsia="仿宋_GB2312" w:cs="仿宋_GB2312"/>
          <w:color w:val="auto"/>
          <w:sz w:val="28"/>
          <w:szCs w:val="28"/>
          <w:highlight w:val="none"/>
        </w:rPr>
        <w:t>报告。</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满足标书内其他各项要求</w:t>
      </w:r>
      <w:r>
        <w:rPr>
          <w:rFonts w:hint="eastAsia" w:ascii="仿宋_GB2312" w:hAnsi="仿宋_GB2312" w:eastAsia="仿宋_GB2312" w:cs="仿宋_GB2312"/>
          <w:color w:val="auto"/>
          <w:sz w:val="28"/>
          <w:szCs w:val="28"/>
          <w:highlight w:val="none"/>
        </w:rPr>
        <w:t>。</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九、交付使用期及合同履行期：</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合同签订之日起</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日内交付使用并完成验收。</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十、付款方式：</w:t>
      </w:r>
    </w:p>
    <w:p>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验收合格后支付项目合同款</w:t>
      </w:r>
      <w:r>
        <w:rPr>
          <w:rFonts w:hint="eastAsia" w:ascii="仿宋_GB2312" w:hAnsi="仿宋_GB2312" w:eastAsia="仿宋_GB2312" w:cs="仿宋_GB2312"/>
          <w:sz w:val="28"/>
          <w:szCs w:val="28"/>
          <w:highlight w:val="none"/>
          <w:lang w:val="en-US" w:eastAsia="zh-CN"/>
        </w:rPr>
        <w:t>100%。</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十一、投标文件格式：</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（2）投标公司联系人及联系方式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4.投标文件包含项目：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（1）提供有效的营业执照副本（加盖公章）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（3）报价明细单（加盖公章）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（5）诚信竞争承诺书。（加盖公章，格式自定）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highlight w:val="none"/>
        </w:rPr>
      </w:pPr>
      <w:r>
        <w:rPr>
          <w:rFonts w:hint="eastAsia" w:ascii="仿宋_GB2312" w:hAnsi="仿宋_GB2312" w:eastAsia="仿宋_GB2312" w:cs="仿宋_GB2312"/>
          <w:sz w:val="28"/>
          <w:szCs w:val="28"/>
          <w:highlight w:val="none"/>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十二、报名须知：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4.招标谈判价格及中标价格都为税后价格。</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5、报名时间：公告之日起至</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时</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分。超过报名期限，报名无效。</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咨询电话： 6612123  6612857</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时 间：</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19</w:t>
      </w:r>
      <w:bookmarkStart w:id="0" w:name="_GoBack"/>
      <w:bookmarkEnd w:id="0"/>
      <w:r>
        <w:rPr>
          <w:rFonts w:hint="eastAsia" w:ascii="仿宋_GB2312" w:hAnsi="仿宋_GB2312" w:eastAsia="仿宋_GB2312" w:cs="仿宋_GB2312"/>
          <w:sz w:val="28"/>
          <w:szCs w:val="28"/>
          <w:highlight w:val="none"/>
        </w:rPr>
        <w:t xml:space="preserve">日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如有变化另行通知</w:t>
      </w:r>
      <w:r>
        <w:rPr>
          <w:rFonts w:ascii="仿宋_GB2312" w:hAnsi="仿宋_GB2312" w:eastAsia="仿宋_GB2312" w:cs="仿宋_GB2312"/>
          <w:sz w:val="28"/>
          <w:szCs w:val="28"/>
          <w:highlight w:val="none"/>
        </w:rPr>
        <w:t>)</w:t>
      </w:r>
    </w:p>
    <w:p>
      <w:pPr>
        <w:numPr>
          <w:ilvl w:val="0"/>
          <w:numId w:val="2"/>
        </w:num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宋体" w:hAnsi="宋体" w:cs="宋体"/>
          <w:sz w:val="36"/>
          <w:szCs w:val="36"/>
          <w:highlight w:val="none"/>
        </w:rPr>
      </w:pPr>
      <w:r>
        <w:rPr>
          <w:rFonts w:hint="eastAsia" w:ascii="宋体" w:hAnsi="宋体" w:cs="宋体"/>
          <w:sz w:val="36"/>
          <w:szCs w:val="36"/>
          <w:highlight w:val="none"/>
        </w:rPr>
        <w:t xml:space="preserve">附件    </w:t>
      </w:r>
    </w:p>
    <w:p>
      <w:pPr>
        <w:ind w:firstLine="2880" w:firstLineChars="800"/>
        <w:rPr>
          <w:rFonts w:ascii="宋体" w:hAnsi="宋体" w:cs="宋体"/>
          <w:sz w:val="36"/>
          <w:szCs w:val="36"/>
          <w:highlight w:val="none"/>
        </w:rPr>
      </w:pPr>
      <w:r>
        <w:rPr>
          <w:rFonts w:hint="eastAsia" w:ascii="宋体" w:hAnsi="宋体" w:cs="宋体"/>
          <w:sz w:val="36"/>
          <w:szCs w:val="36"/>
          <w:highlight w:val="none"/>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highlight w:val="none"/>
        </w:rPr>
      </w:pPr>
      <w:r>
        <w:rPr>
          <w:rFonts w:hint="eastAsia" w:ascii="宋体" w:hAnsi="宋体" w:cs="宋体"/>
          <w:sz w:val="36"/>
          <w:szCs w:val="36"/>
          <w:highlight w:val="none"/>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highlight w:val="none"/>
        </w:rPr>
      </w:pPr>
      <w:r>
        <w:rPr>
          <w:rFonts w:hint="eastAsia" w:ascii="宋体" w:hAnsi="宋体" w:cs="宋体"/>
          <w:sz w:val="36"/>
          <w:szCs w:val="36"/>
          <w:highlight w:val="none"/>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highlight w:val="none"/>
        </w:rPr>
      </w:pPr>
      <w:r>
        <w:rPr>
          <w:rFonts w:hint="eastAsia" w:ascii="宋体" w:hAnsi="宋体" w:cs="宋体"/>
          <w:sz w:val="32"/>
          <w:szCs w:val="32"/>
          <w:highlight w:val="none"/>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highlight w:val="none"/>
        </w:rPr>
      </w:pPr>
      <w:r>
        <w:rPr>
          <w:rFonts w:hint="eastAsia" w:ascii="宋体" w:hAnsi="宋体" w:cs="宋体"/>
          <w:sz w:val="32"/>
          <w:szCs w:val="32"/>
          <w:highlight w:val="none"/>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highlight w:val="none"/>
        </w:rPr>
      </w:pPr>
      <w:r>
        <w:rPr>
          <w:rFonts w:hint="eastAsia" w:ascii="宋体" w:hAnsi="宋体" w:cs="宋体"/>
          <w:b/>
          <w:bCs/>
          <w:sz w:val="36"/>
          <w:szCs w:val="36"/>
          <w:highlight w:val="none"/>
        </w:rPr>
        <w:t>注：如放弃此项目，请在开标前电话告知。</w:t>
      </w:r>
    </w:p>
    <w:p>
      <w:pPr>
        <w:spacing w:line="600" w:lineRule="exact"/>
        <w:jc w:val="left"/>
        <w:rPr>
          <w:rFonts w:ascii="仿宋_GB2312" w:hAnsi="仿宋_GB2312" w:eastAsia="仿宋_GB2312" w:cs="仿宋_GB2312"/>
          <w:sz w:val="28"/>
          <w:szCs w:val="28"/>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A4B5"/>
    <w:multiLevelType w:val="singleLevel"/>
    <w:tmpl w:val="8553A4B5"/>
    <w:lvl w:ilvl="0" w:tentative="0">
      <w:start w:val="1"/>
      <w:numFmt w:val="decimal"/>
      <w:lvlText w:val="%1."/>
      <w:lvlJc w:val="left"/>
      <w:pPr>
        <w:ind w:left="425" w:hanging="425"/>
      </w:pPr>
      <w:rPr>
        <w:rFonts w:hint="default"/>
      </w:rPr>
    </w:lvl>
  </w:abstractNum>
  <w:abstractNum w:abstractNumId="1">
    <w:nsid w:val="05D6A156"/>
    <w:multiLevelType w:val="singleLevel"/>
    <w:tmpl w:val="05D6A15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4AE5021"/>
    <w:rsid w:val="050140F6"/>
    <w:rsid w:val="05410980"/>
    <w:rsid w:val="072D4A49"/>
    <w:rsid w:val="09182F28"/>
    <w:rsid w:val="0A6E5533"/>
    <w:rsid w:val="0B022976"/>
    <w:rsid w:val="0E760A58"/>
    <w:rsid w:val="0EA25227"/>
    <w:rsid w:val="0FDF5034"/>
    <w:rsid w:val="11665AD8"/>
    <w:rsid w:val="11D37C8C"/>
    <w:rsid w:val="1666025D"/>
    <w:rsid w:val="16775FC6"/>
    <w:rsid w:val="16CF4C05"/>
    <w:rsid w:val="1991739F"/>
    <w:rsid w:val="1D1D61ED"/>
    <w:rsid w:val="1DBF33D6"/>
    <w:rsid w:val="1E377934"/>
    <w:rsid w:val="231B00C0"/>
    <w:rsid w:val="25511304"/>
    <w:rsid w:val="25CD79B1"/>
    <w:rsid w:val="274C36AC"/>
    <w:rsid w:val="28821F99"/>
    <w:rsid w:val="2A816FBC"/>
    <w:rsid w:val="2C365656"/>
    <w:rsid w:val="2C445632"/>
    <w:rsid w:val="2FAC6889"/>
    <w:rsid w:val="32F24260"/>
    <w:rsid w:val="3332035D"/>
    <w:rsid w:val="354457B6"/>
    <w:rsid w:val="35692C47"/>
    <w:rsid w:val="367040CD"/>
    <w:rsid w:val="369F6410"/>
    <w:rsid w:val="39AD1B7B"/>
    <w:rsid w:val="3B0E03F8"/>
    <w:rsid w:val="3B800BCA"/>
    <w:rsid w:val="3E001ACB"/>
    <w:rsid w:val="3F7E2D29"/>
    <w:rsid w:val="400E575F"/>
    <w:rsid w:val="44305883"/>
    <w:rsid w:val="48A95C04"/>
    <w:rsid w:val="4B9366F7"/>
    <w:rsid w:val="4D3D09A3"/>
    <w:rsid w:val="4DC0318A"/>
    <w:rsid w:val="4EA561F2"/>
    <w:rsid w:val="4EC240F1"/>
    <w:rsid w:val="4F037DBD"/>
    <w:rsid w:val="4F195FC5"/>
    <w:rsid w:val="50695DFD"/>
    <w:rsid w:val="539A1A43"/>
    <w:rsid w:val="5452714F"/>
    <w:rsid w:val="54A57831"/>
    <w:rsid w:val="56B50A62"/>
    <w:rsid w:val="56DE65BB"/>
    <w:rsid w:val="57B123DF"/>
    <w:rsid w:val="593372DF"/>
    <w:rsid w:val="5BFA49A5"/>
    <w:rsid w:val="5DC11AA1"/>
    <w:rsid w:val="5DD9376C"/>
    <w:rsid w:val="5E0F1C0D"/>
    <w:rsid w:val="5E4626E4"/>
    <w:rsid w:val="615675DB"/>
    <w:rsid w:val="62EB1FB1"/>
    <w:rsid w:val="63116428"/>
    <w:rsid w:val="643B2E62"/>
    <w:rsid w:val="64E020F2"/>
    <w:rsid w:val="65BF660F"/>
    <w:rsid w:val="663A3EE7"/>
    <w:rsid w:val="670544F5"/>
    <w:rsid w:val="67BC4283"/>
    <w:rsid w:val="684E3579"/>
    <w:rsid w:val="68F159A6"/>
    <w:rsid w:val="69BB70ED"/>
    <w:rsid w:val="6BF36ACF"/>
    <w:rsid w:val="6C77221A"/>
    <w:rsid w:val="6C7C7008"/>
    <w:rsid w:val="6D1159A2"/>
    <w:rsid w:val="6DC13574"/>
    <w:rsid w:val="6F190B3E"/>
    <w:rsid w:val="6FC22CFB"/>
    <w:rsid w:val="70557570"/>
    <w:rsid w:val="71867FE1"/>
    <w:rsid w:val="725F3A16"/>
    <w:rsid w:val="73F94DAE"/>
    <w:rsid w:val="747D6EEF"/>
    <w:rsid w:val="7581053B"/>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styleId="11">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3459</Words>
  <Characters>3679</Characters>
  <Lines>30</Lines>
  <Paragraphs>8</Paragraphs>
  <TotalTime>5</TotalTime>
  <ScaleCrop>false</ScaleCrop>
  <LinksUpToDate>false</LinksUpToDate>
  <CharactersWithSpaces>3896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cc</cp:lastModifiedBy>
  <cp:lastPrinted>2022-07-11T06:35:00Z</cp:lastPrinted>
  <dcterms:modified xsi:type="dcterms:W3CDTF">2023-10-12T06:30:24Z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AF36CB19C1934B1F84B32EC38E050AEA</vt:lpwstr>
  </property>
</Properties>
</file>