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after="312" w:afterLines="100" w:line="600" w:lineRule="exact"/>
        <w:jc w:val="center"/>
        <w:outlineLvl w:val="0"/>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rPr>
        <w:t>大庆市人民医院</w:t>
      </w:r>
      <w:r>
        <w:rPr>
          <w:rFonts w:hint="eastAsia" w:ascii="仿宋_GB2312" w:hAnsi="仿宋_GB2312" w:eastAsia="仿宋_GB2312" w:cs="仿宋_GB2312"/>
          <w:b/>
          <w:bCs/>
          <w:sz w:val="36"/>
          <w:szCs w:val="36"/>
          <w:highlight w:val="none"/>
          <w:lang w:val="en-US" w:eastAsia="zh-CN"/>
        </w:rPr>
        <w:t>互联网医院</w:t>
      </w:r>
      <w:r>
        <w:rPr>
          <w:rFonts w:hint="eastAsia" w:ascii="仿宋_GB2312" w:hAnsi="仿宋_GB2312" w:eastAsia="仿宋_GB2312" w:cs="仿宋_GB2312"/>
          <w:b/>
          <w:bCs/>
          <w:sz w:val="36"/>
          <w:szCs w:val="36"/>
          <w:highlight w:val="none"/>
        </w:rPr>
        <w:t>安全保护等级评测</w:t>
      </w:r>
      <w:r>
        <w:rPr>
          <w:rFonts w:hint="eastAsia" w:ascii="仿宋_GB2312" w:hAnsi="仿宋_GB2312" w:eastAsia="仿宋_GB2312" w:cs="仿宋_GB2312"/>
          <w:b/>
          <w:bCs/>
          <w:sz w:val="36"/>
          <w:szCs w:val="36"/>
          <w:highlight w:val="none"/>
          <w:lang w:val="en-US" w:eastAsia="zh-CN"/>
        </w:rPr>
        <w:t>服务项目</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一、采购单位：大庆市人民医院</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二、项目名称：大庆市人民医院互联网医院安全保护等级评测服务项目</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编号:</w:t>
      </w:r>
      <w:r>
        <w:rPr>
          <w:rFonts w:hint="eastAsia" w:ascii="仿宋_GB2312" w:hAnsi="仿宋_GB2312" w:eastAsia="仿宋_GB2312" w:cs="仿宋_GB2312"/>
          <w:b/>
          <w:bCs/>
          <w:sz w:val="28"/>
          <w:szCs w:val="28"/>
          <w:highlight w:val="none"/>
          <w:lang w:val="en-US" w:eastAsia="zh-CN"/>
        </w:rPr>
        <w:t>XXZX2023007</w:t>
      </w:r>
      <w:r>
        <w:rPr>
          <w:rFonts w:hint="eastAsia" w:ascii="仿宋_GB2312" w:hAnsi="仿宋_GB2312" w:eastAsia="仿宋_GB2312" w:cs="仿宋_GB2312"/>
          <w:b/>
          <w:bCs/>
          <w:sz w:val="28"/>
          <w:szCs w:val="28"/>
          <w:highlight w:val="none"/>
        </w:rPr>
        <w:t>）</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三、采购方式：竞争性谈判</w:t>
      </w:r>
    </w:p>
    <w:p>
      <w:pPr>
        <w:pStyle w:val="8"/>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100000</w:t>
      </w:r>
      <w:r>
        <w:rPr>
          <w:rFonts w:hint="eastAsia" w:ascii="仿宋_GB2312" w:hAnsi="仿宋_GB2312" w:eastAsia="仿宋_GB2312" w:cs="仿宋_GB2312"/>
          <w:b/>
          <w:bCs/>
          <w:sz w:val="28"/>
          <w:szCs w:val="28"/>
          <w:highlight w:val="none"/>
        </w:rPr>
        <w:t>元（报价超出采购预算为无效报价）。</w:t>
      </w:r>
    </w:p>
    <w:p>
      <w:pPr>
        <w:pStyle w:val="8"/>
        <w:adjustRightInd w:val="0"/>
        <w:spacing w:after="312" w:afterLines="100" w:line="600" w:lineRule="exact"/>
        <w:ind w:firstLine="562" w:firstLineChars="200"/>
        <w:outlineLvl w:val="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801"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735"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539"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c>
          <w:tcPr>
            <w:tcW w:w="4170" w:type="dxa"/>
            <w:vAlign w:val="center"/>
          </w:tcPr>
          <w:p>
            <w:pPr>
              <w:spacing w:line="288"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widowControl/>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801" w:type="dxa"/>
            <w:vAlign w:val="center"/>
          </w:tcPr>
          <w:p>
            <w:pPr>
              <w:widowControl/>
              <w:jc w:val="center"/>
              <w:rPr>
                <w:rFonts w:ascii="仿宋_GB2312" w:hAnsi="仿宋_GB2312" w:eastAsia="仿宋_GB2312" w:cs="仿宋_GB2312"/>
                <w:color w:val="auto"/>
                <w:szCs w:val="21"/>
                <w:highlight w:val="none"/>
              </w:rPr>
            </w:pPr>
            <w:r>
              <w:rPr>
                <w:rFonts w:hint="eastAsia" w:ascii="微软雅黑" w:hAnsi="微软雅黑" w:eastAsia="微软雅黑" w:cs="微软雅黑"/>
                <w:color w:val="auto"/>
                <w:sz w:val="18"/>
                <w:szCs w:val="18"/>
                <w:highlight w:val="none"/>
                <w:lang w:val="en-US" w:eastAsia="zh-CN"/>
              </w:rPr>
              <w:t>互联网医院</w:t>
            </w:r>
            <w:r>
              <w:rPr>
                <w:rFonts w:ascii="微软雅黑" w:hAnsi="微软雅黑" w:eastAsia="微软雅黑" w:cs="微软雅黑"/>
                <w:color w:val="auto"/>
                <w:sz w:val="18"/>
                <w:szCs w:val="18"/>
                <w:highlight w:val="none"/>
              </w:rPr>
              <w:t>网络安全等级保护三级</w:t>
            </w:r>
          </w:p>
        </w:tc>
        <w:tc>
          <w:tcPr>
            <w:tcW w:w="735" w:type="dxa"/>
            <w:vAlign w:val="center"/>
          </w:tcPr>
          <w:p>
            <w:pPr>
              <w:widowControl/>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539" w:type="dxa"/>
            <w:vAlign w:val="center"/>
          </w:tcPr>
          <w:p>
            <w:pPr>
              <w:widowControl/>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170" w:type="dxa"/>
            <w:vAlign w:val="top"/>
          </w:tcPr>
          <w:p>
            <w:pPr>
              <w:pStyle w:val="11"/>
              <w:numPr>
                <w:ilvl w:val="0"/>
                <w:numId w:val="1"/>
              </w:numPr>
              <w:rPr>
                <w:rFonts w:hint="eastAsia"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投标人须在全国网络安全等级测评与检测评估机构目录中，并具备公安部第三研究所认证发放的《网络安全等级测评与检测评估机构服务认证证书》（复印件加盖公章）；</w:t>
            </w:r>
          </w:p>
          <w:p>
            <w:pPr>
              <w:pStyle w:val="11"/>
              <w:numPr>
                <w:ilvl w:val="0"/>
                <w:numId w:val="1"/>
              </w:numPr>
              <w:rPr>
                <w:rFonts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需严格依据《 网络安全等级保护基本要求》对业务系统开展基于等保2.0的三级等保测评工作；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需根据系统定级情况以及系统建设情况，协助采购单位起草等保备案材料并完成相关系统在公安机关的备案工作，取得《备案证明》。</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需从安全物理环境、安全通信网络、安全区域边界、安全计算环境、安全管理中心、安全管理制度、安全管理机构、安全管理人员、安全建设管理、安全运维管理等10个安全层面开展测评工作；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依据《网络安全等级保护测评过程指南》，从测评准备工作、方案编制工作、现场测评工作、分析与报告编制工作四个方面制定测评工作流程；</w:t>
            </w:r>
          </w:p>
          <w:p>
            <w:pPr>
              <w:pStyle w:val="11"/>
              <w:numPr>
                <w:ilvl w:val="0"/>
                <w:numId w:val="1"/>
              </w:numPr>
              <w:rPr>
                <w:rFonts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需严格依据《GB/T28449-2018信息安全技术 网络安全等级保护测评过程指南》开展现场测评工作，测评方法包括但不限于访谈、核查、工具测试等内容；</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需在测评工作结束后，采购单位出具符合等保2.0测评要求的测评报告；</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以等保测评结果为依据，可针对采购单位重要系统安全现状出具《信息系统网络安全加固意见书》，并协助完成整改工作；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需配合产品厂商开展策略调整与加固工作。</w:t>
            </w:r>
          </w:p>
          <w:p>
            <w:pPr>
              <w:pStyle w:val="11"/>
              <w:numPr>
                <w:ilvl w:val="0"/>
                <w:numId w:val="1"/>
              </w:numPr>
              <w:rPr>
                <w:rFonts w:ascii="宋体" w:hAnsi="宋体" w:eastAsia="宋体" w:cs="宋体"/>
                <w:color w:val="auto"/>
                <w:sz w:val="21"/>
                <w:szCs w:val="21"/>
                <w:highlight w:val="none"/>
              </w:rPr>
            </w:pPr>
            <w:r>
              <w:rPr>
                <w:rFonts w:hint="eastAsia" w:ascii="微软雅黑" w:hAnsi="微软雅黑" w:eastAsia="微软雅黑" w:cs="微软雅黑"/>
                <w:color w:val="auto"/>
                <w:kern w:val="0"/>
                <w:sz w:val="18"/>
                <w:szCs w:val="18"/>
                <w:highlight w:val="none"/>
                <w:lang w:bidi="ar"/>
              </w:rPr>
              <w:t>★</w:t>
            </w:r>
            <w:r>
              <w:rPr>
                <w:rFonts w:hint="eastAsia" w:ascii="宋体" w:hAnsi="宋体" w:eastAsia="宋体" w:cs="宋体"/>
                <w:color w:val="auto"/>
                <w:sz w:val="21"/>
                <w:szCs w:val="21"/>
                <w:highlight w:val="none"/>
              </w:rPr>
              <w:t>为确保供应商的服务水平和综合素质，供应商应从未被列入“网络安全等级保护网”（www.djbh.net）中中关村信息安全测评联盟或国家网络安全等级保护工作协调小组办公室发布的整改公告。供应商需提供上述承诺书，承诺书格式自拟。若服务供应商提供虚假承诺，招标人有权将该供应商纳入采购黑名单。</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靠检测脚本和工具对信息资产进行检测，对被检测的信息资产进行全方位的配置检测，能够真实、全面地反映操作系统、网络设备、数据库、中间件和虚拟化设备中所存在的安全配置问题和面临的网络安全威胁。</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根据的实际需要，对确定的院内的安全设备、网络设备、服务器，以人工的方式，结合业务状况，进行策略的合理性和有效性检查，记录、保存检查结果。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根据实际需要对院内的服务器、数据库系统的日志，采用人工和自动化工具相结合的方式，对日志进行审计分析，记录保存日志审计结果。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括安全软硬件设备物理故障、策略故障的处理；客户端病毒故障的处理；安全事件处理及响应；故障知识库的建立更新。确保日常办公系统、业务系统的持续运行能力，并建立故障处理流程，规范故障处理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针对实际情况收集整理补丁更新通告，评估测试补丁更新的可行性和必要性，对重要关键补丁进行安全部署。并需要确认补丁不能影响业务应用。</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针对网络结构内的安全软硬件设备的策略配置进行指定、定期完善。确保安全软硬件设备的有效性以及策略的针对性。并建立策略变更流程，规范策略管理工作。</w:t>
            </w:r>
          </w:p>
          <w:p>
            <w:pPr>
              <w:pStyle w:val="11"/>
              <w:numPr>
                <w:ilvl w:val="0"/>
                <w:numId w:val="1"/>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针对网络架构内的安全设备的攻击事件日志，进行实时监控。通过技术人员的安全经验，第一时间发现网络内的攻击事件，并对简单事件进行处理；如遇复杂事件，则发起调用应急响应服务等二线资源。</w:t>
            </w:r>
          </w:p>
          <w:p>
            <w:pPr>
              <w:pStyle w:val="11"/>
              <w:numPr>
                <w:ilvl w:val="0"/>
                <w:numId w:val="1"/>
              </w:numPr>
              <w:ind w:left="425" w:leftChars="0" w:hanging="425"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投标人根据等级保护安全管理层面相关标准要求，协助采购单位对重要系统制定和完善符合等保2.0需求的信息安全管理制度</w:t>
            </w:r>
            <w:r>
              <w:rPr>
                <w:rFonts w:hint="eastAsia" w:ascii="宋体" w:hAnsi="宋体" w:eastAsia="宋体" w:cs="宋体"/>
                <w:color w:val="auto"/>
                <w:sz w:val="21"/>
                <w:szCs w:val="21"/>
                <w:highlight w:val="none"/>
                <w:lang w:eastAsia="zh-CN"/>
              </w:rPr>
              <w:t>。</w:t>
            </w:r>
          </w:p>
          <w:p>
            <w:pPr>
              <w:pStyle w:val="11"/>
              <w:numPr>
                <w:ilvl w:val="0"/>
                <w:numId w:val="1"/>
              </w:numPr>
              <w:ind w:left="425" w:leftChars="0" w:hanging="425"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投标人需提供一年内的售后技术咨询服务。</w:t>
            </w:r>
          </w:p>
          <w:p>
            <w:pPr>
              <w:pStyle w:val="11"/>
              <w:numPr>
                <w:ilvl w:val="0"/>
                <w:numId w:val="1"/>
              </w:numPr>
              <w:ind w:left="425" w:leftChars="0" w:hanging="425"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供应商需派遣专业讲师针对网络安全运营、管理人员开展一次网络安全等级保护培训,时长不少于 4 学时。</w:t>
            </w:r>
          </w:p>
        </w:tc>
      </w:tr>
    </w:tbl>
    <w:p>
      <w:pPr>
        <w:spacing w:line="48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1、签订合同后，</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日内完成</w:t>
      </w:r>
      <w:r>
        <w:rPr>
          <w:rFonts w:hint="eastAsia" w:ascii="仿宋_GB2312" w:hAnsi="仿宋_GB2312" w:eastAsia="仿宋_GB2312" w:cs="仿宋_GB2312"/>
          <w:sz w:val="28"/>
          <w:szCs w:val="28"/>
          <w:highlight w:val="none"/>
          <w:lang w:val="en-US" w:eastAsia="zh-CN"/>
        </w:rPr>
        <w:t>测评</w:t>
      </w:r>
      <w:r>
        <w:rPr>
          <w:rFonts w:hint="eastAsia" w:ascii="仿宋_GB2312" w:hAnsi="仿宋_GB2312" w:eastAsia="仿宋_GB2312" w:cs="仿宋_GB2312"/>
          <w:sz w:val="28"/>
          <w:szCs w:val="28"/>
          <w:highlight w:val="none"/>
        </w:rPr>
        <w:t>。</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3、如技术要求中未特别注明需执行的国家相关标准、行业标准、地方标准或者其他标准、规范，则统一执行最新标准、规范。</w:t>
      </w:r>
    </w:p>
    <w:p>
      <w:pPr>
        <w:spacing w:line="480" w:lineRule="auto"/>
        <w:ind w:firstLine="482" w:firstLineChars="200"/>
        <w:rPr>
          <w:b/>
          <w:bCs/>
          <w:sz w:val="24"/>
          <w:highlight w:val="none"/>
        </w:rPr>
      </w:pPr>
      <w:r>
        <w:rPr>
          <w:rFonts w:hint="eastAsia"/>
          <w:b/>
          <w:bCs/>
          <w:sz w:val="24"/>
          <w:highlight w:val="none"/>
        </w:rPr>
        <w:t>六、供应商资格条件：</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1.满足《中华人民共和国政府采购法》第二十二条规定；</w:t>
      </w:r>
    </w:p>
    <w:p>
      <w:pPr>
        <w:spacing w:line="600" w:lineRule="exact"/>
        <w:ind w:firstLine="6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必须</w:t>
      </w:r>
      <w:r>
        <w:rPr>
          <w:rFonts w:hint="eastAsia" w:ascii="仿宋_GB2312" w:hAnsi="仿宋_GB2312" w:eastAsia="仿宋_GB2312" w:cs="仿宋_GB2312"/>
          <w:color w:val="auto"/>
          <w:sz w:val="28"/>
          <w:szCs w:val="28"/>
          <w:highlight w:val="none"/>
        </w:rPr>
        <w:t>在全国网络安全等级测评与检测评估机构目录中，并具备公安部第三研究所认证发放的《网络安全等级测评与检测评估机构服务认证证书》</w:t>
      </w:r>
      <w:r>
        <w:rPr>
          <w:rFonts w:hint="eastAsia" w:ascii="仿宋_GB2312" w:hAnsi="仿宋_GB2312" w:eastAsia="仿宋_GB2312" w:cs="仿宋_GB2312"/>
          <w:color w:val="auto"/>
          <w:sz w:val="28"/>
          <w:szCs w:val="28"/>
          <w:highlight w:val="none"/>
          <w:lang w:eastAsia="zh-CN"/>
        </w:rPr>
        <w:t>。</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4、本项目不接受联合体投标。</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七、质量及服务要求：</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1.服务方提供周一至周日7×24小时的电话支持和现场响应服务，针对所升级设备发生的宕机等重大故障，服务方要在接到甲方报修电话后30分钟内响应，并在1小时内到达现场。</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2.安全服务要求：</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pPr>
        <w:spacing w:line="600" w:lineRule="exact"/>
        <w:ind w:firstLine="6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1.由</w:t>
      </w:r>
      <w:r>
        <w:rPr>
          <w:rFonts w:hint="eastAsia" w:ascii="仿宋_GB2312" w:hAnsi="仿宋_GB2312" w:eastAsia="仿宋_GB2312" w:cs="仿宋_GB2312"/>
          <w:color w:val="auto"/>
          <w:sz w:val="28"/>
          <w:szCs w:val="28"/>
          <w:highlight w:val="none"/>
          <w:lang w:val="en-US" w:eastAsia="zh-CN"/>
        </w:rPr>
        <w:t>乙方提供等保备案证明</w:t>
      </w:r>
      <w:r>
        <w:rPr>
          <w:rFonts w:hint="eastAsia" w:ascii="仿宋_GB2312" w:hAnsi="仿宋_GB2312" w:eastAsia="仿宋_GB2312" w:cs="仿宋_GB2312"/>
          <w:color w:val="auto"/>
          <w:sz w:val="28"/>
          <w:szCs w:val="28"/>
          <w:highlight w:val="none"/>
        </w:rPr>
        <w:t>。</w:t>
      </w:r>
    </w:p>
    <w:p>
      <w:pPr>
        <w:spacing w:line="600" w:lineRule="exact"/>
        <w:ind w:firstLine="6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乙方提供合格的等保测评</w:t>
      </w:r>
      <w:r>
        <w:rPr>
          <w:rFonts w:hint="eastAsia" w:ascii="仿宋_GB2312" w:hAnsi="仿宋_GB2312" w:eastAsia="仿宋_GB2312" w:cs="仿宋_GB2312"/>
          <w:color w:val="auto"/>
          <w:sz w:val="28"/>
          <w:szCs w:val="28"/>
          <w:highlight w:val="none"/>
        </w:rPr>
        <w:t>报告。</w:t>
      </w:r>
    </w:p>
    <w:p>
      <w:pPr>
        <w:spacing w:line="600" w:lineRule="exact"/>
        <w:ind w:firstLine="6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满足标书内其他各项要求</w:t>
      </w:r>
      <w:r>
        <w:rPr>
          <w:rFonts w:hint="eastAsia" w:ascii="仿宋_GB2312" w:hAnsi="仿宋_GB2312" w:eastAsia="仿宋_GB2312" w:cs="仿宋_GB2312"/>
          <w:color w:val="auto"/>
          <w:sz w:val="28"/>
          <w:szCs w:val="28"/>
          <w:highlight w:val="none"/>
        </w:rPr>
        <w:t>。</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九、交付使用期及合同履行期：</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合同签订之日起</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日内交付使用并完成验收。</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十、付款方式：</w:t>
      </w:r>
    </w:p>
    <w:p>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验收合格后支付项目合同款</w:t>
      </w:r>
      <w:r>
        <w:rPr>
          <w:rFonts w:hint="eastAsia" w:ascii="仿宋_GB2312" w:hAnsi="仿宋_GB2312" w:eastAsia="仿宋_GB2312" w:cs="仿宋_GB2312"/>
          <w:sz w:val="28"/>
          <w:szCs w:val="28"/>
          <w:highlight w:val="none"/>
          <w:lang w:val="en-US" w:eastAsia="zh-CN"/>
        </w:rPr>
        <w:t>100%。</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十一、投标文件格式：</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有意投标者请将投标资料密封在信封或档案袋内（投标书封面，要求写明文件名称、投标单位名称（盖章）、地址、投标单位法定代表人（签字或盖章），投标单位联系人，联系电话），提供原件的需单独密封。</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（2）投标公司联系人及联系方式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4.投标文件包含项目：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（1）提供有效的营业执照副本（加盖公章）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（2）法定代表人身份证（法定代表人参会时提供）。如参会代表不是法定代表人的，须附有授权委托书，法定代表人身份证及授权代表身份证。授权代表需提供社保证明。（加盖公章）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（3）报价明细单（加盖公章）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（4）供应商提供投标截止日前6个月内任意1个月依法缴纳税收和社会保障资金的相关材料。或不需要缴纳社会保障资金的，提供相应证明材料（加盖公章）</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（5）诚信竞争承诺书。（加盖公章，格式自定）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（6）提供本单位的参加政府采购活动前3年内在经营活动中没有重大违法记录的书面声明（加盖公章，格式自定）。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（7）响应资料无弄虚作假声明。如发现资料为虚假资料，将取消响应资格，且供应商自行承担法律责任（加盖公章，格式自定）。</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highlight w:val="none"/>
        </w:rPr>
      </w:pPr>
      <w:r>
        <w:rPr>
          <w:rFonts w:hint="eastAsia" w:ascii="仿宋_GB2312" w:hAnsi="仿宋_GB2312" w:eastAsia="仿宋_GB2312" w:cs="仿宋_GB2312"/>
          <w:sz w:val="28"/>
          <w:szCs w:val="28"/>
          <w:highlight w:val="none"/>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十二、报名须知：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4.招标谈判价格及中标价格都为税后价格。</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5、报名时间：公告之日起至</w:t>
      </w:r>
      <w:r>
        <w:rPr>
          <w:rFonts w:hint="eastAsia" w:ascii="仿宋_GB2312" w:hAnsi="仿宋_GB2312" w:eastAsia="仿宋_GB2312" w:cs="仿宋_GB2312"/>
          <w:sz w:val="28"/>
          <w:szCs w:val="28"/>
          <w:highlight w:val="none"/>
          <w:lang w:val="en-US" w:eastAsia="zh-CN"/>
        </w:rPr>
        <w:t>2023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日。超过报名期限，报名无效。</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咨询电话： 6612123  6612857</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时 间：</w:t>
      </w:r>
      <w:r>
        <w:rPr>
          <w:rFonts w:hint="eastAsia" w:ascii="仿宋_GB2312" w:hAnsi="仿宋_GB2312" w:eastAsia="仿宋_GB2312" w:cs="仿宋_GB2312"/>
          <w:sz w:val="28"/>
          <w:szCs w:val="28"/>
          <w:highlight w:val="none"/>
          <w:lang w:val="en-US" w:eastAsia="zh-CN"/>
        </w:rPr>
        <w:t>2023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10日</w:t>
      </w:r>
      <w:bookmarkStart w:id="0" w:name="_GoBack"/>
      <w:bookmarkEnd w:id="0"/>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如有变化另行通知</w:t>
      </w:r>
      <w:r>
        <w:rPr>
          <w:rFonts w:ascii="仿宋_GB2312" w:hAnsi="仿宋_GB2312" w:eastAsia="仿宋_GB2312" w:cs="仿宋_GB2312"/>
          <w:sz w:val="28"/>
          <w:szCs w:val="28"/>
          <w:highlight w:val="none"/>
        </w:rPr>
        <w:t>)</w:t>
      </w:r>
    </w:p>
    <w:p>
      <w:pPr>
        <w:numPr>
          <w:ilvl w:val="0"/>
          <w:numId w:val="2"/>
        </w:num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宋体" w:hAnsi="宋体" w:cs="宋体"/>
          <w:sz w:val="36"/>
          <w:szCs w:val="36"/>
          <w:highlight w:val="none"/>
        </w:rPr>
      </w:pPr>
      <w:r>
        <w:rPr>
          <w:rFonts w:hint="eastAsia" w:ascii="宋体" w:hAnsi="宋体" w:cs="宋体"/>
          <w:sz w:val="36"/>
          <w:szCs w:val="36"/>
          <w:highlight w:val="none"/>
        </w:rPr>
        <w:t xml:space="preserve">附件    </w:t>
      </w:r>
    </w:p>
    <w:p>
      <w:pPr>
        <w:ind w:firstLine="2880" w:firstLineChars="800"/>
        <w:rPr>
          <w:rFonts w:ascii="宋体" w:hAnsi="宋体" w:cs="宋体"/>
          <w:sz w:val="36"/>
          <w:szCs w:val="36"/>
          <w:highlight w:val="none"/>
        </w:rPr>
      </w:pPr>
      <w:r>
        <w:rPr>
          <w:rFonts w:hint="eastAsia" w:ascii="宋体" w:hAnsi="宋体" w:cs="宋体"/>
          <w:sz w:val="36"/>
          <w:szCs w:val="36"/>
          <w:highlight w:val="none"/>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highlight w:val="none"/>
        </w:rPr>
      </w:pPr>
      <w:r>
        <w:rPr>
          <w:rFonts w:hint="eastAsia" w:ascii="宋体" w:hAnsi="宋体" w:cs="宋体"/>
          <w:sz w:val="36"/>
          <w:szCs w:val="36"/>
          <w:highlight w:val="none"/>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highlight w:val="none"/>
        </w:rPr>
      </w:pPr>
      <w:r>
        <w:rPr>
          <w:rFonts w:hint="eastAsia" w:ascii="宋体" w:hAnsi="宋体" w:cs="宋体"/>
          <w:sz w:val="36"/>
          <w:szCs w:val="36"/>
          <w:highlight w:val="none"/>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highlight w:val="none"/>
        </w:rPr>
      </w:pPr>
      <w:r>
        <w:rPr>
          <w:rFonts w:hint="eastAsia" w:ascii="宋体" w:hAnsi="宋体" w:cs="宋体"/>
          <w:sz w:val="32"/>
          <w:szCs w:val="32"/>
          <w:highlight w:val="none"/>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highlight w:val="none"/>
        </w:rPr>
      </w:pPr>
      <w:r>
        <w:rPr>
          <w:rFonts w:hint="eastAsia" w:ascii="宋体" w:hAnsi="宋体" w:cs="宋体"/>
          <w:sz w:val="32"/>
          <w:szCs w:val="32"/>
          <w:highlight w:val="none"/>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highlight w:val="none"/>
        </w:rPr>
      </w:pPr>
      <w:r>
        <w:rPr>
          <w:rFonts w:hint="eastAsia" w:ascii="宋体" w:hAnsi="宋体" w:cs="宋体"/>
          <w:b/>
          <w:bCs/>
          <w:sz w:val="36"/>
          <w:szCs w:val="36"/>
          <w:highlight w:val="none"/>
        </w:rPr>
        <w:t>注：如放弃此项目，请在开标前电话告知。</w:t>
      </w:r>
    </w:p>
    <w:p>
      <w:pPr>
        <w:spacing w:line="600" w:lineRule="exact"/>
        <w:jc w:val="left"/>
        <w:rPr>
          <w:rFonts w:ascii="仿宋_GB2312" w:hAnsi="仿宋_GB2312" w:eastAsia="仿宋_GB2312" w:cs="仿宋_GB2312"/>
          <w:sz w:val="28"/>
          <w:szCs w:val="28"/>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3A4B5"/>
    <w:multiLevelType w:val="singleLevel"/>
    <w:tmpl w:val="8553A4B5"/>
    <w:lvl w:ilvl="0" w:tentative="0">
      <w:start w:val="1"/>
      <w:numFmt w:val="decimal"/>
      <w:lvlText w:val="%1."/>
      <w:lvlJc w:val="left"/>
      <w:pPr>
        <w:ind w:left="425" w:hanging="425"/>
      </w:pPr>
      <w:rPr>
        <w:rFonts w:hint="default"/>
      </w:rPr>
    </w:lvl>
  </w:abstractNum>
  <w:abstractNum w:abstractNumId="1">
    <w:nsid w:val="05D6A156"/>
    <w:multiLevelType w:val="singleLevel"/>
    <w:tmpl w:val="05D6A156"/>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3174096"/>
    <w:rsid w:val="04AE5021"/>
    <w:rsid w:val="050140F6"/>
    <w:rsid w:val="05410980"/>
    <w:rsid w:val="072D4A49"/>
    <w:rsid w:val="09182F28"/>
    <w:rsid w:val="0A6E5533"/>
    <w:rsid w:val="0B022976"/>
    <w:rsid w:val="0E760A58"/>
    <w:rsid w:val="0EA25227"/>
    <w:rsid w:val="0FDF5034"/>
    <w:rsid w:val="11665AD8"/>
    <w:rsid w:val="11D37C8C"/>
    <w:rsid w:val="1666025D"/>
    <w:rsid w:val="16775FC6"/>
    <w:rsid w:val="16CF4C05"/>
    <w:rsid w:val="1991739F"/>
    <w:rsid w:val="1D1D61ED"/>
    <w:rsid w:val="1DBF33D6"/>
    <w:rsid w:val="1E377934"/>
    <w:rsid w:val="231B00C0"/>
    <w:rsid w:val="25511304"/>
    <w:rsid w:val="25CD79B1"/>
    <w:rsid w:val="274C36AC"/>
    <w:rsid w:val="28821F99"/>
    <w:rsid w:val="2A816FBC"/>
    <w:rsid w:val="2C365656"/>
    <w:rsid w:val="2C445632"/>
    <w:rsid w:val="2FAC6889"/>
    <w:rsid w:val="30D036CE"/>
    <w:rsid w:val="32F24260"/>
    <w:rsid w:val="3332035D"/>
    <w:rsid w:val="354457B6"/>
    <w:rsid w:val="35692C47"/>
    <w:rsid w:val="367040CD"/>
    <w:rsid w:val="369F6410"/>
    <w:rsid w:val="36AF0177"/>
    <w:rsid w:val="39AD1B7B"/>
    <w:rsid w:val="3B0E03F8"/>
    <w:rsid w:val="3B800BCA"/>
    <w:rsid w:val="3E001ACB"/>
    <w:rsid w:val="3F7E2D29"/>
    <w:rsid w:val="400E575F"/>
    <w:rsid w:val="44305883"/>
    <w:rsid w:val="450B1E4C"/>
    <w:rsid w:val="48A95C04"/>
    <w:rsid w:val="4B9366F7"/>
    <w:rsid w:val="4D3D09A3"/>
    <w:rsid w:val="4DC0318A"/>
    <w:rsid w:val="4E740A62"/>
    <w:rsid w:val="4EA561F2"/>
    <w:rsid w:val="4EC240F1"/>
    <w:rsid w:val="4F037DBD"/>
    <w:rsid w:val="4F195FC5"/>
    <w:rsid w:val="50695DFD"/>
    <w:rsid w:val="539A1A43"/>
    <w:rsid w:val="5452714F"/>
    <w:rsid w:val="54A57831"/>
    <w:rsid w:val="56B50A62"/>
    <w:rsid w:val="56DE65BB"/>
    <w:rsid w:val="57B123DF"/>
    <w:rsid w:val="593372DF"/>
    <w:rsid w:val="5BFA49A5"/>
    <w:rsid w:val="5DC11AA1"/>
    <w:rsid w:val="5DD9376C"/>
    <w:rsid w:val="5E0F1C0D"/>
    <w:rsid w:val="5E4626E4"/>
    <w:rsid w:val="5FD61ABE"/>
    <w:rsid w:val="615675DB"/>
    <w:rsid w:val="62EB1FB1"/>
    <w:rsid w:val="63116428"/>
    <w:rsid w:val="643B2E62"/>
    <w:rsid w:val="64E020F2"/>
    <w:rsid w:val="65BF660F"/>
    <w:rsid w:val="663A3EE7"/>
    <w:rsid w:val="670544F5"/>
    <w:rsid w:val="67BC4283"/>
    <w:rsid w:val="684E3579"/>
    <w:rsid w:val="68F159A6"/>
    <w:rsid w:val="69BB70ED"/>
    <w:rsid w:val="6BF36ACF"/>
    <w:rsid w:val="6C77221A"/>
    <w:rsid w:val="6C7C7008"/>
    <w:rsid w:val="6D1159A2"/>
    <w:rsid w:val="6DC13574"/>
    <w:rsid w:val="6F190B3E"/>
    <w:rsid w:val="6FC22CFB"/>
    <w:rsid w:val="70557570"/>
    <w:rsid w:val="71867FE1"/>
    <w:rsid w:val="725F3A16"/>
    <w:rsid w:val="73F94DAE"/>
    <w:rsid w:val="747D6EEF"/>
    <w:rsid w:val="7581053B"/>
    <w:rsid w:val="77BA4C37"/>
    <w:rsid w:val="78485C06"/>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 w:type="paragraph" w:styleId="11">
    <w:name w:val="No Spacing"/>
    <w:qFormat/>
    <w:uiPriority w:val="1"/>
    <w:pPr>
      <w:widowControl w:val="0"/>
      <w:jc w:val="both"/>
    </w:pPr>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3459</Words>
  <Characters>3679</Characters>
  <Lines>30</Lines>
  <Paragraphs>8</Paragraphs>
  <TotalTime>6</TotalTime>
  <ScaleCrop>false</ScaleCrop>
  <LinksUpToDate>false</LinksUpToDate>
  <CharactersWithSpaces>3896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ztb</cp:lastModifiedBy>
  <cp:lastPrinted>2022-07-11T06:35:00Z</cp:lastPrinted>
  <dcterms:modified xsi:type="dcterms:W3CDTF">2023-11-03T05:45:34Z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AF36CB19C1934B1F84B32EC38E050AEA</vt:lpwstr>
  </property>
</Properties>
</file>