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大庆市人民医院防统方系统采购项目</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二、项目名称：大庆市人民医院防统方系统采购项目（编号:XXZX2023008）</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16.5</w:t>
      </w:r>
      <w:r>
        <w:rPr>
          <w:rFonts w:hint="eastAsia" w:ascii="仿宋_GB2312" w:hAnsi="仿宋_GB2312" w:eastAsia="仿宋_GB2312" w:cs="仿宋_GB2312"/>
          <w:b/>
          <w:bCs/>
          <w:sz w:val="28"/>
          <w:szCs w:val="28"/>
          <w:highlight w:val="none"/>
        </w:rPr>
        <w:t>万元（报价超出采购预算为无效报价）。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5"/>
        <w:tblW w:w="8519" w:type="dxa"/>
        <w:jc w:val="center"/>
        <w:tblLayout w:type="fixed"/>
        <w:tblCellMar>
          <w:top w:w="0" w:type="dxa"/>
          <w:left w:w="0" w:type="dxa"/>
          <w:bottom w:w="0" w:type="dxa"/>
          <w:right w:w="0" w:type="dxa"/>
        </w:tblCellMar>
      </w:tblPr>
      <w:tblGrid>
        <w:gridCol w:w="1688"/>
        <w:gridCol w:w="6831"/>
      </w:tblGrid>
      <w:tr>
        <w:tblPrEx>
          <w:tblCellMar>
            <w:top w:w="0" w:type="dxa"/>
            <w:left w:w="0" w:type="dxa"/>
            <w:bottom w:w="0" w:type="dxa"/>
            <w:right w:w="0" w:type="dxa"/>
          </w:tblCellMar>
        </w:tblPrEx>
        <w:trPr>
          <w:trHeight w:val="467" w:hRule="atLeast"/>
          <w:jc w:val="center"/>
        </w:trPr>
        <w:tc>
          <w:tcPr>
            <w:tcW w:w="8519" w:type="dxa"/>
            <w:gridSpan w:val="2"/>
            <w:tcBorders>
              <w:top w:val="single" w:color="auto" w:sz="8"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color w:val="000000"/>
              </w:rPr>
            </w:pPr>
            <w:r>
              <w:rPr>
                <w:rFonts w:hint="eastAsia" w:cs="宋体" w:asciiTheme="minorEastAsia" w:hAnsiTheme="minorEastAsia"/>
                <w:b/>
                <w:color w:val="000000"/>
                <w:kern w:val="0"/>
                <w:lang w:bidi="ar"/>
              </w:rPr>
              <w:t>防统方系统功能及参数</w:t>
            </w:r>
          </w:p>
        </w:tc>
      </w:tr>
      <w:tr>
        <w:tblPrEx>
          <w:tblCellMar>
            <w:top w:w="0" w:type="dxa"/>
            <w:left w:w="0" w:type="dxa"/>
            <w:bottom w:w="0" w:type="dxa"/>
            <w:right w:w="0" w:type="dxa"/>
          </w:tblCellMar>
        </w:tblPrEx>
        <w:trPr>
          <w:trHeight w:val="467" w:hRule="atLeast"/>
          <w:jc w:val="center"/>
        </w:trPr>
        <w:tc>
          <w:tcPr>
            <w:tcW w:w="168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名称</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技术参数及要求</w:t>
            </w:r>
          </w:p>
        </w:tc>
      </w:tr>
      <w:tr>
        <w:tblPrEx>
          <w:tblCellMar>
            <w:top w:w="0" w:type="dxa"/>
            <w:left w:w="0" w:type="dxa"/>
            <w:bottom w:w="0" w:type="dxa"/>
            <w:right w:w="0" w:type="dxa"/>
          </w:tblCellMar>
        </w:tblPrEx>
        <w:trPr>
          <w:trHeight w:val="467" w:hRule="atLeast"/>
          <w:jc w:val="center"/>
        </w:trPr>
        <w:tc>
          <w:tcPr>
            <w:tcW w:w="1688"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eastAsia" w:cs="宋体" w:asciiTheme="minorEastAsia" w:hAnsiTheme="minorEastAsia"/>
                <w:bCs/>
                <w:color w:val="000000"/>
                <w:kern w:val="0"/>
                <w:lang w:bidi="ar"/>
              </w:rPr>
              <w:t>硬件规格及性能</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采用独立的标准机架式2U硬件架构，软硬件一体化系统，全操作系统，内嵌数据库，用户无需另外安装操作系统及数据库管理系统。</w:t>
            </w:r>
          </w:p>
        </w:tc>
      </w:tr>
      <w:tr>
        <w:tblPrEx>
          <w:tblCellMar>
            <w:top w:w="0" w:type="dxa"/>
            <w:left w:w="0" w:type="dxa"/>
            <w:bottom w:w="0" w:type="dxa"/>
            <w:right w:w="0" w:type="dxa"/>
          </w:tblCellMar>
        </w:tblPrEx>
        <w:trPr>
          <w:trHeight w:val="467"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内存&gt;=16GB；&gt;=6*100/1000M 电口；硬盘存储&gt;=2TB，采用SSD、HDD多级</w:t>
            </w:r>
            <w:r>
              <w:rPr>
                <w:rFonts w:cs="宋体" w:asciiTheme="minorEastAsia" w:hAnsiTheme="minorEastAsia"/>
                <w:bCs/>
                <w:color w:val="000000"/>
                <w:kern w:val="0"/>
                <w:lang w:bidi="ar"/>
              </w:rPr>
              <w:t>存储</w:t>
            </w:r>
            <w:r>
              <w:rPr>
                <w:rFonts w:hint="eastAsia" w:cs="宋体" w:asciiTheme="minorEastAsia" w:hAnsiTheme="minorEastAsia"/>
                <w:bCs/>
                <w:color w:val="000000"/>
                <w:kern w:val="0"/>
                <w:lang w:bidi="ar"/>
              </w:rPr>
              <w:t>架构，系统</w:t>
            </w:r>
            <w:r>
              <w:rPr>
                <w:rFonts w:cs="宋体" w:asciiTheme="minorEastAsia" w:hAnsiTheme="minorEastAsia"/>
                <w:bCs/>
                <w:color w:val="000000"/>
                <w:kern w:val="0"/>
                <w:lang w:bidi="ar"/>
              </w:rPr>
              <w:t>和</w:t>
            </w:r>
            <w:r>
              <w:rPr>
                <w:rFonts w:hint="eastAsia" w:cs="宋体" w:asciiTheme="minorEastAsia" w:hAnsiTheme="minorEastAsia"/>
                <w:bCs/>
                <w:color w:val="000000"/>
                <w:kern w:val="0"/>
                <w:lang w:bidi="ar"/>
              </w:rPr>
              <w:t>业务数据</w:t>
            </w:r>
            <w:r>
              <w:rPr>
                <w:rFonts w:cs="宋体" w:asciiTheme="minorEastAsia" w:hAnsiTheme="minorEastAsia"/>
                <w:bCs/>
                <w:color w:val="000000"/>
                <w:kern w:val="0"/>
                <w:lang w:bidi="ar"/>
              </w:rPr>
              <w:t>分离，实现高效</w:t>
            </w:r>
            <w:r>
              <w:rPr>
                <w:rFonts w:hint="eastAsia" w:cs="宋体" w:asciiTheme="minorEastAsia" w:hAnsiTheme="minorEastAsia"/>
                <w:bCs/>
                <w:color w:val="000000"/>
                <w:kern w:val="0"/>
                <w:lang w:bidi="ar"/>
              </w:rPr>
              <w:t>、安全</w:t>
            </w:r>
            <w:r>
              <w:rPr>
                <w:rFonts w:cs="宋体" w:asciiTheme="minorEastAsia" w:hAnsiTheme="minorEastAsia"/>
                <w:bCs/>
                <w:color w:val="000000"/>
                <w:kern w:val="0"/>
                <w:lang w:bidi="ar"/>
              </w:rPr>
              <w:t>存储</w:t>
            </w:r>
            <w:r>
              <w:rPr>
                <w:rFonts w:hint="eastAsia" w:cs="宋体" w:asciiTheme="minorEastAsia" w:hAnsiTheme="minorEastAsia"/>
                <w:bCs/>
                <w:color w:val="000000"/>
                <w:kern w:val="0"/>
                <w:lang w:bidi="ar"/>
              </w:rPr>
              <w:t>；</w:t>
            </w:r>
          </w:p>
        </w:tc>
      </w:tr>
      <w:tr>
        <w:tblPrEx>
          <w:tblCellMar>
            <w:top w:w="0" w:type="dxa"/>
            <w:left w:w="0" w:type="dxa"/>
            <w:bottom w:w="0" w:type="dxa"/>
            <w:right w:w="0" w:type="dxa"/>
          </w:tblCellMar>
        </w:tblPrEx>
        <w:trPr>
          <w:trHeight w:val="467"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性能指标：峰值事件处理能力不低于25000条语句/秒，日志存储不低于16亿条。</w:t>
            </w:r>
          </w:p>
        </w:tc>
      </w:tr>
      <w:tr>
        <w:tblPrEx>
          <w:tblCellMar>
            <w:top w:w="0" w:type="dxa"/>
            <w:left w:w="0" w:type="dxa"/>
            <w:bottom w:w="0" w:type="dxa"/>
            <w:right w:w="0" w:type="dxa"/>
          </w:tblCellMar>
        </w:tblPrEx>
        <w:trPr>
          <w:trHeight w:val="467" w:hRule="atLeast"/>
          <w:jc w:val="center"/>
        </w:trPr>
        <w:tc>
          <w:tcPr>
            <w:tcW w:w="1688" w:type="dxa"/>
            <w:vMerge w:val="restart"/>
            <w:tcBorders>
              <w:top w:val="single" w:color="auto" w:sz="4" w:space="0"/>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cs="宋体" w:asciiTheme="minorEastAsia" w:hAnsiTheme="minorEastAsia"/>
                <w:bCs/>
                <w:color w:val="000000"/>
                <w:kern w:val="0"/>
                <w:lang w:bidi="ar"/>
              </w:rPr>
              <w:t>工作模式</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旁路部署方式，对原有网络不造成影响，产品本身的故障不影响被审计系统的正常运行，不得在现有服务器上安装可能带来风险的程序。</w:t>
            </w:r>
          </w:p>
        </w:tc>
      </w:tr>
      <w:tr>
        <w:tblPrEx>
          <w:tblCellMar>
            <w:top w:w="0" w:type="dxa"/>
            <w:left w:w="0" w:type="dxa"/>
            <w:bottom w:w="0" w:type="dxa"/>
            <w:right w:w="0" w:type="dxa"/>
          </w:tblCellMar>
        </w:tblPrEx>
        <w:trPr>
          <w:trHeight w:val="467" w:hRule="atLeast"/>
          <w:jc w:val="center"/>
        </w:trPr>
        <w:tc>
          <w:tcPr>
            <w:tcW w:w="1688" w:type="dxa"/>
            <w:vMerge w:val="continue"/>
            <w:tcBorders>
              <w:top w:val="single" w:color="auto" w:sz="4" w:space="0"/>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shd w:val="clear" w:color="auto" w:fill="FFFFFF"/>
                <w:lang w:bidi="ar"/>
              </w:rPr>
              <w:t>★支持</w:t>
            </w:r>
            <w:r>
              <w:rPr>
                <w:rFonts w:asciiTheme="minorEastAsia" w:hAnsiTheme="minorEastAsia"/>
                <w:lang w:bidi="ar"/>
              </w:rPr>
              <w:t>Agent</w:t>
            </w:r>
            <w:r>
              <w:rPr>
                <w:rFonts w:hint="eastAsia" w:cs="宋体" w:asciiTheme="minorEastAsia" w:hAnsiTheme="minorEastAsia"/>
                <w:lang w:bidi="ar"/>
              </w:rPr>
              <w:t>引流，运行时</w:t>
            </w:r>
            <w:r>
              <w:rPr>
                <w:rFonts w:asciiTheme="minorEastAsia" w:hAnsiTheme="minorEastAsia"/>
                <w:lang w:bidi="ar"/>
              </w:rPr>
              <w:t>CPU</w:t>
            </w:r>
            <w:r>
              <w:rPr>
                <w:rFonts w:hint="eastAsia" w:cs="宋体" w:asciiTheme="minorEastAsia" w:hAnsiTheme="minorEastAsia"/>
                <w:lang w:bidi="ar"/>
              </w:rPr>
              <w:t>占用率低于</w:t>
            </w:r>
            <w:r>
              <w:rPr>
                <w:rFonts w:asciiTheme="minorEastAsia" w:hAnsiTheme="minorEastAsia"/>
                <w:lang w:bidi="ar"/>
              </w:rPr>
              <w:t>3%</w:t>
            </w:r>
            <w:r>
              <w:rPr>
                <w:rFonts w:hint="eastAsia" w:cs="宋体" w:asciiTheme="minorEastAsia" w:hAnsiTheme="minorEastAsia"/>
                <w:lang w:bidi="ar"/>
              </w:rPr>
              <w:t>，内存占用小于</w:t>
            </w:r>
            <w:r>
              <w:rPr>
                <w:rFonts w:asciiTheme="minorEastAsia" w:hAnsiTheme="minorEastAsia"/>
                <w:lang w:bidi="ar"/>
              </w:rPr>
              <w:t>100M</w:t>
            </w:r>
            <w:r>
              <w:rPr>
                <w:rFonts w:hint="eastAsia" w:cs="宋体" w:asciiTheme="minorEastAsia" w:hAnsiTheme="minorEastAsia"/>
                <w:lang w:bidi="ar"/>
              </w:rPr>
              <w:t>，程序文件小于</w:t>
            </w:r>
            <w:r>
              <w:rPr>
                <w:rFonts w:hint="eastAsia" w:asciiTheme="minorEastAsia" w:hAnsiTheme="minorEastAsia"/>
                <w:color w:val="000000" w:themeColor="text1"/>
                <w:lang w:bidi="ar"/>
                <w14:textFill>
                  <w14:solidFill>
                    <w14:schemeClr w14:val="tx1"/>
                  </w14:solidFill>
                </w14:textFill>
              </w:rPr>
              <w:t>5</w:t>
            </w:r>
            <w:r>
              <w:rPr>
                <w:rFonts w:asciiTheme="minorEastAsia" w:hAnsiTheme="minorEastAsia"/>
                <w:color w:val="000000" w:themeColor="text1"/>
                <w:lang w:bidi="ar"/>
                <w14:textFill>
                  <w14:solidFill>
                    <w14:schemeClr w14:val="tx1"/>
                  </w14:solidFill>
                </w14:textFill>
              </w:rPr>
              <w:t>M</w:t>
            </w:r>
            <w:r>
              <w:rPr>
                <w:rFonts w:hint="eastAsia" w:cs="宋体" w:asciiTheme="minorEastAsia" w:hAnsiTheme="minorEastAsia"/>
                <w:color w:val="000000" w:themeColor="text1"/>
                <w:lang w:bidi="ar"/>
                <w14:textFill>
                  <w14:solidFill>
                    <w14:schemeClr w14:val="tx1"/>
                  </w14:solidFill>
                </w14:textFill>
              </w:rPr>
              <w:t>。</w:t>
            </w:r>
          </w:p>
        </w:tc>
      </w:tr>
      <w:tr>
        <w:tblPrEx>
          <w:tblCellMar>
            <w:top w:w="0" w:type="dxa"/>
            <w:left w:w="0" w:type="dxa"/>
            <w:bottom w:w="0" w:type="dxa"/>
            <w:right w:w="0" w:type="dxa"/>
          </w:tblCellMar>
        </w:tblPrEx>
        <w:trPr>
          <w:trHeight w:val="560" w:hRule="atLeast"/>
          <w:jc w:val="center"/>
        </w:trPr>
        <w:tc>
          <w:tcPr>
            <w:tcW w:w="1688" w:type="dxa"/>
            <w:vMerge w:val="restart"/>
            <w:tcBorders>
              <w:top w:val="single" w:color="auto" w:sz="4" w:space="0"/>
              <w:left w:val="single" w:color="auto" w:sz="4" w:space="0"/>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cs="宋体" w:asciiTheme="minorEastAsia" w:hAnsiTheme="minorEastAsia"/>
                <w:bCs/>
                <w:color w:val="000000"/>
                <w:kern w:val="0"/>
                <w:lang w:bidi="ar"/>
              </w:rPr>
              <w:t>基本功能</w:t>
            </w: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spacing w:line="360" w:lineRule="auto"/>
              <w:rPr>
                <w:rFonts w:cs="宋体" w:asciiTheme="minorEastAsia" w:hAnsiTheme="minorEastAsia"/>
                <w:bCs/>
                <w:color w:val="FF0000"/>
                <w:kern w:val="0"/>
              </w:rPr>
            </w:pPr>
            <w:r>
              <w:rPr>
                <w:rFonts w:hint="eastAsia" w:cs="宋体" w:asciiTheme="minorEastAsia" w:hAnsiTheme="minorEastAsia"/>
                <w:bCs/>
                <w:kern w:val="0"/>
                <w:lang w:bidi="ar"/>
              </w:rPr>
              <w:t>支持</w:t>
            </w:r>
            <w:r>
              <w:rPr>
                <w:rFonts w:hint="eastAsia" w:cs="宋体" w:asciiTheme="minorEastAsia" w:hAnsiTheme="minorEastAsia"/>
                <w:kern w:val="0"/>
                <w:lang w:bidi="ar"/>
              </w:rPr>
              <w:t>oracle、</w:t>
            </w:r>
            <w:r>
              <w:rPr>
                <w:rFonts w:hint="eastAsia" w:asciiTheme="minorEastAsia" w:hAnsiTheme="minorEastAsia" w:cstheme="minorEastAsia"/>
                <w:shd w:val="clear" w:color="auto" w:fill="FFFFFF"/>
                <w:lang w:bidi="ar"/>
              </w:rPr>
              <w:t>SQL</w:t>
            </w:r>
            <w:r>
              <w:rPr>
                <w:rFonts w:asciiTheme="minorEastAsia" w:hAnsiTheme="minorEastAsia" w:cstheme="minorEastAsia"/>
                <w:shd w:val="clear" w:color="auto" w:fill="FFFFFF"/>
                <w:lang w:bidi="ar"/>
              </w:rPr>
              <w:t xml:space="preserve"> </w:t>
            </w:r>
            <w:r>
              <w:rPr>
                <w:rFonts w:hint="eastAsia" w:asciiTheme="minorEastAsia" w:hAnsiTheme="minorEastAsia" w:cstheme="minorEastAsia"/>
                <w:shd w:val="clear" w:color="auto" w:fill="FFFFFF"/>
                <w:lang w:bidi="ar"/>
              </w:rPr>
              <w:t>Server</w:t>
            </w:r>
            <w:r>
              <w:rPr>
                <w:rFonts w:hint="eastAsia" w:cs="宋体" w:asciiTheme="minorEastAsia" w:hAnsiTheme="minorEastAsia"/>
                <w:kern w:val="0"/>
                <w:lang w:bidi="ar"/>
              </w:rPr>
              <w:t>、Mysql、DB2、postaresql 、</w:t>
            </w:r>
            <w:r>
              <w:rPr>
                <w:rFonts w:hint="eastAsia" w:asciiTheme="minorEastAsia" w:hAnsiTheme="minorEastAsia" w:cstheme="minorEastAsia"/>
                <w:shd w:val="clear" w:color="auto" w:fill="FFFFFF"/>
                <w:lang w:bidi="ar"/>
              </w:rPr>
              <w:t>Caché</w:t>
            </w:r>
            <w:r>
              <w:rPr>
                <w:rFonts w:hint="eastAsia" w:cs="宋体" w:asciiTheme="minorEastAsia" w:hAnsiTheme="minorEastAsia"/>
                <w:kern w:val="0"/>
                <w:lang w:bidi="ar"/>
              </w:rPr>
              <w:t>、Portal、DM、informix、Kingbase、LibrA、神通、南大通用、Samba</w:t>
            </w:r>
            <w:r>
              <w:rPr>
                <w:rFonts w:hint="eastAsia" w:cs="宋体" w:asciiTheme="minorEastAsia" w:hAnsiTheme="minorEastAsia"/>
                <w:bCs/>
                <w:kern w:val="0"/>
                <w:lang w:bidi="ar"/>
              </w:rPr>
              <w:t>等数据库的审计，且支持多种不同的数据库同时审计。</w:t>
            </w:r>
          </w:p>
        </w:tc>
      </w:tr>
      <w:tr>
        <w:tblPrEx>
          <w:tblCellMar>
            <w:top w:w="0" w:type="dxa"/>
            <w:left w:w="0" w:type="dxa"/>
            <w:bottom w:w="0" w:type="dxa"/>
            <w:right w:w="0" w:type="dxa"/>
          </w:tblCellMar>
        </w:tblPrEx>
        <w:trPr>
          <w:trHeight w:val="560" w:hRule="atLeast"/>
          <w:jc w:val="center"/>
        </w:trPr>
        <w:tc>
          <w:tcPr>
            <w:tcW w:w="1688" w:type="dxa"/>
            <w:vMerge w:val="continue"/>
            <w:tcBorders>
              <w:left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kern w:val="0"/>
              </w:rPr>
            </w:pPr>
            <w:r>
              <w:rPr>
                <w:rFonts w:hint="eastAsia" w:cs="宋体" w:asciiTheme="minorEastAsia" w:hAnsiTheme="minorEastAsia"/>
                <w:bCs/>
                <w:kern w:val="0"/>
                <w:lang w:bidi="ar"/>
              </w:rPr>
              <w:t>系统支持杭创、键讯、金蝶慧通、用友、中联、阳光用药、天健、厦门智业、科进、中天、天网、方正、东华、金仕达、东软、键讯、陕西医星、长城、广州力锦等his中间件审计。</w:t>
            </w:r>
          </w:p>
        </w:tc>
      </w:tr>
      <w:tr>
        <w:tblPrEx>
          <w:tblCellMar>
            <w:top w:w="0" w:type="dxa"/>
            <w:left w:w="0" w:type="dxa"/>
            <w:bottom w:w="0" w:type="dxa"/>
            <w:right w:w="0" w:type="dxa"/>
          </w:tblCellMar>
        </w:tblPrEx>
        <w:trPr>
          <w:trHeight w:val="560" w:hRule="atLeast"/>
          <w:jc w:val="center"/>
        </w:trPr>
        <w:tc>
          <w:tcPr>
            <w:tcW w:w="1688" w:type="dxa"/>
            <w:vMerge w:val="continue"/>
            <w:tcBorders>
              <w:left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系统包括审计引擎及管理后台软件、策略管理、告警管理、权限管理、系统日志、系统配置等功能，审计数据统一存储、查询、分析、统计。</w:t>
            </w:r>
          </w:p>
        </w:tc>
      </w:tr>
      <w:tr>
        <w:tblPrEx>
          <w:tblCellMar>
            <w:top w:w="0" w:type="dxa"/>
            <w:left w:w="0" w:type="dxa"/>
            <w:bottom w:w="0" w:type="dxa"/>
            <w:right w:w="0" w:type="dxa"/>
          </w:tblCellMar>
        </w:tblPrEx>
        <w:trPr>
          <w:trHeight w:val="560" w:hRule="atLeast"/>
          <w:jc w:val="center"/>
        </w:trPr>
        <w:tc>
          <w:tcPr>
            <w:tcW w:w="1688" w:type="dxa"/>
            <w:vMerge w:val="continue"/>
            <w:tcBorders>
              <w:left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★系统内置有多级缓存机制，能够实现超出总容量的30%时支持时间不低于2小时，有多级物理存贮机制；</w:t>
            </w:r>
            <w:r>
              <w:rPr>
                <w:rFonts w:hint="eastAsia" w:cs="宋体" w:asciiTheme="minorEastAsia" w:hAnsiTheme="minorEastAsia"/>
                <w:bCs/>
                <w:kern w:val="0"/>
                <w:lang w:bidi="ar"/>
              </w:rPr>
              <w:t>（</w:t>
            </w:r>
            <w:r>
              <w:rPr>
                <w:rFonts w:hint="eastAsia" w:cs="宋体" w:asciiTheme="minorEastAsia" w:hAnsiTheme="minorEastAsia"/>
                <w:lang w:bidi="ar"/>
              </w:rPr>
              <w:t>需提供原理性证明文件）</w:t>
            </w:r>
            <w:r>
              <w:rPr>
                <w:rFonts w:cs="宋体" w:asciiTheme="minorEastAsia" w:hAnsiTheme="minorEastAsia"/>
                <w:bCs/>
                <w:color w:val="000000"/>
                <w:kern w:val="0"/>
              </w:rPr>
              <w:t xml:space="preserve"> </w:t>
            </w:r>
          </w:p>
        </w:tc>
      </w:tr>
      <w:tr>
        <w:tblPrEx>
          <w:tblCellMar>
            <w:top w:w="0" w:type="dxa"/>
            <w:left w:w="0" w:type="dxa"/>
            <w:bottom w:w="0" w:type="dxa"/>
            <w:right w:w="0" w:type="dxa"/>
          </w:tblCellMar>
        </w:tblPrEx>
        <w:trPr>
          <w:trHeight w:val="560" w:hRule="atLeast"/>
          <w:jc w:val="center"/>
        </w:trPr>
        <w:tc>
          <w:tcPr>
            <w:tcW w:w="1688" w:type="dxa"/>
            <w:vMerge w:val="continue"/>
            <w:tcBorders>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系统应支持多层过滤功能，支持网络流量驱动级过滤，根据过滤的条件（如源地址IP/目的地址IP）定义规则，对网络流量进行扫描，对无用的信息从网络层进行过滤；根据系统语句（SQL语句）和白名单（条件为IP/MAC/数据库账户/审计对象/操作语句）定义规则进行应用层过滤，将客户关注的信息进行保留，避免无用信息的堆砌造成磁盘空间的浪费和性能的耗损；</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556" w:hRule="atLeast"/>
          <w:jc w:val="center"/>
        </w:trPr>
        <w:tc>
          <w:tcPr>
            <w:tcW w:w="1688"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eastAsia" w:cs="宋体" w:asciiTheme="minorEastAsia" w:hAnsiTheme="minorEastAsia"/>
                <w:color w:val="000000"/>
                <w:kern w:val="0"/>
                <w:lang w:bidi="ar"/>
              </w:rPr>
              <w:t>防统方审计能力</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★全面支持后关系型数据库Cache的集成工具Terminal、Portal、Studio、Sqlmanager、MedTrak工具的审计，其中Portal能审计到Sql语句、查询Global有返回结果，Sqlmanager支持</w:t>
            </w:r>
            <w:r>
              <w:rPr>
                <w:rFonts w:cs="宋体" w:asciiTheme="minorEastAsia" w:hAnsiTheme="minorEastAsia"/>
                <w:bCs/>
                <w:color w:val="000000"/>
                <w:kern w:val="0"/>
                <w:lang w:bidi="ar"/>
              </w:rPr>
              <w:t>根据</w:t>
            </w:r>
            <w:r>
              <w:rPr>
                <w:rFonts w:hint="eastAsia" w:cs="宋体" w:asciiTheme="minorEastAsia" w:hAnsiTheme="minorEastAsia"/>
                <w:bCs/>
                <w:color w:val="000000"/>
                <w:kern w:val="0"/>
                <w:lang w:bidi="ar"/>
              </w:rPr>
              <w:t>SQL ID提取高效</w:t>
            </w:r>
            <w:r>
              <w:rPr>
                <w:rFonts w:cs="宋体" w:asciiTheme="minorEastAsia" w:hAnsiTheme="minorEastAsia"/>
                <w:bCs/>
                <w:color w:val="000000"/>
                <w:kern w:val="0"/>
                <w:lang w:bidi="ar"/>
              </w:rPr>
              <w:t xml:space="preserve">审计， </w:t>
            </w:r>
            <w:r>
              <w:rPr>
                <w:rFonts w:hint="eastAsia" w:cs="宋体" w:asciiTheme="minorEastAsia" w:hAnsiTheme="minorEastAsia"/>
                <w:bCs/>
                <w:color w:val="000000"/>
                <w:kern w:val="0"/>
                <w:lang w:bidi="ar"/>
              </w:rPr>
              <w:t>Terminal能审计到SQL语句和返回结果,并</w:t>
            </w:r>
            <w:r>
              <w:rPr>
                <w:rFonts w:cs="宋体" w:asciiTheme="minorEastAsia" w:hAnsiTheme="minorEastAsia"/>
                <w:bCs/>
                <w:color w:val="000000"/>
                <w:kern w:val="0"/>
                <w:lang w:bidi="ar"/>
              </w:rPr>
              <w:t>支持本地审计</w:t>
            </w:r>
            <w:r>
              <w:rPr>
                <w:rFonts w:hint="eastAsia" w:cs="宋体" w:asciiTheme="minorEastAsia" w:hAnsiTheme="minorEastAsia"/>
                <w:bCs/>
                <w:color w:val="000000"/>
                <w:kern w:val="0"/>
                <w:lang w:bidi="ar"/>
              </w:rPr>
              <w:t>，基于C/S的MedTrak工具能审计到操作报表的具体返回结果；</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411"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支持超长操作语句审计，针对传统型数据库，支持3万字节审计而不截断；</w:t>
            </w:r>
          </w:p>
        </w:tc>
      </w:tr>
      <w:tr>
        <w:tblPrEx>
          <w:tblCellMar>
            <w:top w:w="0" w:type="dxa"/>
            <w:left w:w="0" w:type="dxa"/>
            <w:bottom w:w="0" w:type="dxa"/>
            <w:right w:w="0" w:type="dxa"/>
          </w:tblCellMar>
        </w:tblPrEx>
        <w:trPr>
          <w:trHeight w:val="524"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支持对执行时间超过6小时操作的审计。</w:t>
            </w:r>
          </w:p>
        </w:tc>
      </w:tr>
      <w:tr>
        <w:tblPrEx>
          <w:tblCellMar>
            <w:top w:w="0" w:type="dxa"/>
            <w:left w:w="0" w:type="dxa"/>
            <w:bottom w:w="0" w:type="dxa"/>
            <w:right w:w="0" w:type="dxa"/>
          </w:tblCellMar>
        </w:tblPrEx>
        <w:trPr>
          <w:trHeight w:val="896" w:hRule="atLeast"/>
          <w:jc w:val="center"/>
        </w:trPr>
        <w:tc>
          <w:tcPr>
            <w:tcW w:w="1688" w:type="dxa"/>
            <w:vMerge w:val="restart"/>
            <w:tcBorders>
              <w:top w:val="single" w:color="auto" w:sz="4" w:space="0"/>
              <w:left w:val="single" w:color="auto" w:sz="4" w:space="0"/>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cs="宋体" w:asciiTheme="minorEastAsia" w:hAnsiTheme="minorEastAsia"/>
                <w:color w:val="000000"/>
                <w:kern w:val="0"/>
                <w:lang w:bidi="ar"/>
              </w:rPr>
              <w:t>应用审计能力</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★支持B/S、C/S应用系统三层架构http应用审计，可提取包括应用系统的人员工号（账号）在内的“六元组”身份信息，精确定位到人，并可获取XML返回结果；</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524" w:hRule="atLeast"/>
          <w:jc w:val="center"/>
        </w:trPr>
        <w:tc>
          <w:tcPr>
            <w:tcW w:w="1688" w:type="dxa"/>
            <w:vMerge w:val="continue"/>
            <w:tcBorders>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★支持带COM、COM+、DCOM组件的三层架构应用审计，可提取包括应用层工号（账号）之内的“六元组”身份信息，精确定位到人；</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390" w:hRule="atLeast"/>
          <w:jc w:val="center"/>
        </w:trPr>
        <w:tc>
          <w:tcPr>
            <w:tcW w:w="1688"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eastAsia" w:cs="宋体" w:asciiTheme="minorEastAsia" w:hAnsiTheme="minorEastAsia"/>
                <w:color w:val="000000"/>
                <w:kern w:val="0"/>
                <w:lang w:bidi="ar"/>
              </w:rPr>
              <w:t>防统方策略支持</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系统自带各种常见HIS防统方规则库，且规则数量≥500条以上，支持自定义防统方规则；</w:t>
            </w:r>
            <w:r>
              <w:rPr>
                <w:rFonts w:cs="宋体" w:asciiTheme="minorEastAsia" w:hAnsiTheme="minorEastAsia"/>
                <w:bCs/>
                <w:color w:val="000000"/>
                <w:kern w:val="0"/>
              </w:rPr>
              <w:t xml:space="preserve"> </w:t>
            </w:r>
          </w:p>
        </w:tc>
      </w:tr>
      <w:tr>
        <w:tblPrEx>
          <w:tblCellMar>
            <w:top w:w="0" w:type="dxa"/>
            <w:left w:w="0" w:type="dxa"/>
            <w:bottom w:w="0" w:type="dxa"/>
            <w:right w:w="0" w:type="dxa"/>
          </w:tblCellMar>
        </w:tblPrEx>
        <w:trPr>
          <w:trHeight w:val="572"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防统方策略支持18种以上审计</w:t>
            </w:r>
            <w:r>
              <w:rPr>
                <w:rFonts w:cs="宋体" w:asciiTheme="minorEastAsia" w:hAnsiTheme="minorEastAsia"/>
                <w:bCs/>
                <w:color w:val="000000"/>
                <w:kern w:val="0"/>
                <w:lang w:bidi="ar"/>
              </w:rPr>
              <w:t>元素</w:t>
            </w:r>
            <w:r>
              <w:rPr>
                <w:rFonts w:hint="eastAsia" w:cs="宋体" w:asciiTheme="minorEastAsia" w:hAnsiTheme="minorEastAsia"/>
                <w:bCs/>
                <w:color w:val="000000"/>
                <w:kern w:val="0"/>
                <w:lang w:bidi="ar"/>
              </w:rPr>
              <w:t>，可支持数据库操作命令、语句长度、语句执行回应、语句执行时间、返回内容、返回行数、数据库名、数据库账户、服务器端口、客户端操作系统主机名、客户端操作系统用户名、客户端MAC、客户端IP、客户端端口、客户端进程名、会话ID、关键字、时间等；</w:t>
            </w:r>
          </w:p>
        </w:tc>
      </w:tr>
      <w:tr>
        <w:tblPrEx>
          <w:tblCellMar>
            <w:top w:w="0" w:type="dxa"/>
            <w:left w:w="0" w:type="dxa"/>
            <w:bottom w:w="0" w:type="dxa"/>
            <w:right w:w="0" w:type="dxa"/>
          </w:tblCellMar>
        </w:tblPrEx>
        <w:trPr>
          <w:trHeight w:val="572"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支持操作语句系列的组合规则，可根据某一客体的操作行为序列，连续操作了设定的语句序列时进行规则审计告警。</w:t>
            </w:r>
          </w:p>
        </w:tc>
      </w:tr>
      <w:tr>
        <w:tblPrEx>
          <w:tblCellMar>
            <w:top w:w="0" w:type="dxa"/>
            <w:left w:w="0" w:type="dxa"/>
            <w:bottom w:w="0" w:type="dxa"/>
            <w:right w:w="0" w:type="dxa"/>
          </w:tblCellMar>
        </w:tblPrEx>
        <w:trPr>
          <w:trHeight w:val="572"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支持重复操作的统计审计规则，可根据在一定的时间内，重复某项操作达到设定的统计次数并进行告警。</w:t>
            </w:r>
          </w:p>
        </w:tc>
      </w:tr>
      <w:tr>
        <w:tblPrEx>
          <w:tblCellMar>
            <w:top w:w="0" w:type="dxa"/>
            <w:left w:w="0" w:type="dxa"/>
            <w:bottom w:w="0" w:type="dxa"/>
            <w:right w:w="0" w:type="dxa"/>
          </w:tblCellMar>
        </w:tblPrEx>
        <w:trPr>
          <w:trHeight w:val="426"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提供系统漏包告警、网络和网卡异常、磁盘存储容量不足等情况时的自动报警提醒；</w:t>
            </w:r>
          </w:p>
        </w:tc>
      </w:tr>
      <w:tr>
        <w:tblPrEx>
          <w:tblCellMar>
            <w:top w:w="0" w:type="dxa"/>
            <w:left w:w="0" w:type="dxa"/>
            <w:bottom w:w="0" w:type="dxa"/>
            <w:right w:w="0" w:type="dxa"/>
          </w:tblCellMar>
        </w:tblPrEx>
        <w:trPr>
          <w:trHeight w:val="398"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系统支持管理界面告警、Syslog和SNMP trap告警、邮件和短信告警</w:t>
            </w:r>
          </w:p>
        </w:tc>
      </w:tr>
      <w:tr>
        <w:tblPrEx>
          <w:tblCellMar>
            <w:top w:w="0" w:type="dxa"/>
            <w:left w:w="0" w:type="dxa"/>
            <w:bottom w:w="0" w:type="dxa"/>
            <w:right w:w="0" w:type="dxa"/>
          </w:tblCellMar>
        </w:tblPrEx>
        <w:trPr>
          <w:trHeight w:val="20" w:hRule="atLeast"/>
          <w:jc w:val="center"/>
        </w:trPr>
        <w:tc>
          <w:tcPr>
            <w:tcW w:w="1688"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eastAsia" w:cs="宋体" w:asciiTheme="minorEastAsia" w:hAnsiTheme="minorEastAsia"/>
                <w:color w:val="000000"/>
                <w:kern w:val="0"/>
                <w:lang w:bidi="ar"/>
              </w:rPr>
              <w:t>事件查询统计</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告警检索效率高达亿条数据分钟级，搜索条件支持全范围搜索（特别要求在超过亿条数据量时），一次性完成搜索的响应时间在分钟级别；</w:t>
            </w:r>
          </w:p>
        </w:tc>
      </w:tr>
      <w:tr>
        <w:tblPrEx>
          <w:tblCellMar>
            <w:top w:w="0" w:type="dxa"/>
            <w:left w:w="0" w:type="dxa"/>
            <w:bottom w:w="0" w:type="dxa"/>
            <w:right w:w="0" w:type="dxa"/>
          </w:tblCellMar>
        </w:tblPrEx>
        <w:trPr>
          <w:trHeight w:val="274"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spacing w:line="360" w:lineRule="auto"/>
              <w:rPr>
                <w:rFonts w:cs="宋体" w:asciiTheme="minorEastAsia" w:hAnsiTheme="minorEastAsia"/>
                <w:bCs/>
                <w:color w:val="000000"/>
                <w:kern w:val="0"/>
              </w:rPr>
            </w:pPr>
            <w:r>
              <w:rPr>
                <w:rFonts w:hint="eastAsia" w:cs="宋体" w:asciiTheme="minorEastAsia" w:hAnsiTheme="minorEastAsia"/>
                <w:lang w:bidi="ar"/>
              </w:rPr>
              <w:t>内置用户登录情况、用户访问情况、</w:t>
            </w:r>
            <w:r>
              <w:rPr>
                <w:rFonts w:asciiTheme="minorEastAsia" w:hAnsiTheme="minorEastAsia"/>
                <w:lang w:bidi="ar"/>
              </w:rPr>
              <w:t>IP</w:t>
            </w:r>
            <w:r>
              <w:rPr>
                <w:rFonts w:hint="eastAsia" w:cs="宋体" w:asciiTheme="minorEastAsia" w:hAnsiTheme="minorEastAsia"/>
                <w:lang w:bidi="ar"/>
              </w:rPr>
              <w:t>访问情况、风险统计情况、统方事件报表，并支持自定义报表，支持</w:t>
            </w:r>
            <w:r>
              <w:rPr>
                <w:rFonts w:asciiTheme="minorEastAsia" w:hAnsiTheme="minorEastAsia"/>
                <w:lang w:bidi="ar"/>
              </w:rPr>
              <w:t>Word</w:t>
            </w:r>
            <w:r>
              <w:rPr>
                <w:rFonts w:hint="eastAsia" w:cs="宋体" w:asciiTheme="minorEastAsia" w:hAnsiTheme="minorEastAsia"/>
                <w:lang w:bidi="ar"/>
              </w:rPr>
              <w:t>、</w:t>
            </w:r>
            <w:r>
              <w:rPr>
                <w:rFonts w:asciiTheme="minorEastAsia" w:hAnsiTheme="minorEastAsia"/>
                <w:lang w:bidi="ar"/>
              </w:rPr>
              <w:t>PDF</w:t>
            </w:r>
            <w:r>
              <w:rPr>
                <w:rFonts w:hint="eastAsia" w:cs="宋体" w:asciiTheme="minorEastAsia" w:hAnsiTheme="minorEastAsia"/>
                <w:lang w:bidi="ar"/>
              </w:rPr>
              <w:t>、</w:t>
            </w:r>
            <w:r>
              <w:rPr>
                <w:rFonts w:asciiTheme="minorEastAsia" w:hAnsiTheme="minorEastAsia"/>
                <w:lang w:bidi="ar"/>
              </w:rPr>
              <w:t>Excel</w:t>
            </w:r>
            <w:r>
              <w:rPr>
                <w:rFonts w:hint="eastAsia" w:cs="宋体" w:asciiTheme="minorEastAsia" w:hAnsiTheme="minorEastAsia"/>
                <w:lang w:bidi="ar"/>
              </w:rPr>
              <w:t>格式导出报表；</w:t>
            </w:r>
          </w:p>
        </w:tc>
      </w:tr>
      <w:tr>
        <w:tblPrEx>
          <w:tblCellMar>
            <w:top w:w="0" w:type="dxa"/>
            <w:left w:w="0" w:type="dxa"/>
            <w:bottom w:w="0" w:type="dxa"/>
            <w:right w:w="0" w:type="dxa"/>
          </w:tblCellMar>
        </w:tblPrEx>
        <w:trPr>
          <w:trHeight w:val="526"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支持对可疑监控对象的操作语句进行会</w:t>
            </w:r>
            <w:r>
              <w:rPr>
                <w:rFonts w:cs="宋体" w:asciiTheme="minorEastAsia" w:hAnsiTheme="minorEastAsia"/>
                <w:bCs/>
                <w:color w:val="000000"/>
                <w:kern w:val="0"/>
                <w:lang w:bidi="ar"/>
              </w:rPr>
              <w:t>话级</w:t>
            </w:r>
            <w:r>
              <w:rPr>
                <w:rFonts w:hint="eastAsia" w:cs="宋体" w:asciiTheme="minorEastAsia" w:hAnsiTheme="minorEastAsia"/>
                <w:bCs/>
                <w:color w:val="000000"/>
                <w:kern w:val="0"/>
                <w:lang w:bidi="ar"/>
              </w:rPr>
              <w:t>的</w:t>
            </w:r>
            <w:r>
              <w:rPr>
                <w:rFonts w:cs="宋体" w:asciiTheme="minorEastAsia" w:hAnsiTheme="minorEastAsia"/>
                <w:bCs/>
                <w:color w:val="000000"/>
                <w:kern w:val="0"/>
                <w:lang w:bidi="ar"/>
              </w:rPr>
              <w:t>事件</w:t>
            </w:r>
            <w:r>
              <w:rPr>
                <w:rFonts w:hint="eastAsia" w:cs="宋体" w:asciiTheme="minorEastAsia" w:hAnsiTheme="minorEastAsia"/>
                <w:bCs/>
                <w:color w:val="000000"/>
                <w:kern w:val="0"/>
                <w:lang w:bidi="ar"/>
              </w:rPr>
              <w:t>回放，回放时间可达</w:t>
            </w:r>
            <w:r>
              <w:rPr>
                <w:rFonts w:cs="宋体" w:asciiTheme="minorEastAsia" w:hAnsiTheme="minorEastAsia"/>
                <w:bCs/>
                <w:color w:val="000000"/>
                <w:kern w:val="0"/>
                <w:lang w:bidi="ar"/>
              </w:rPr>
              <w:t>前后</w:t>
            </w:r>
            <w:r>
              <w:rPr>
                <w:rFonts w:hint="eastAsia" w:cs="宋体" w:asciiTheme="minorEastAsia" w:hAnsiTheme="minorEastAsia"/>
                <w:bCs/>
                <w:color w:val="000000"/>
                <w:kern w:val="0"/>
                <w:lang w:bidi="ar"/>
              </w:rPr>
              <w:t>60分钟，方便风险及</w:t>
            </w:r>
            <w:r>
              <w:rPr>
                <w:rFonts w:cs="宋体" w:asciiTheme="minorEastAsia" w:hAnsiTheme="minorEastAsia"/>
                <w:bCs/>
                <w:color w:val="000000"/>
                <w:kern w:val="0"/>
                <w:lang w:bidi="ar"/>
              </w:rPr>
              <w:t>违规操作的</w:t>
            </w:r>
            <w:r>
              <w:rPr>
                <w:rFonts w:hint="eastAsia" w:cs="宋体" w:asciiTheme="minorEastAsia" w:hAnsiTheme="minorEastAsia"/>
                <w:bCs/>
                <w:color w:val="000000"/>
                <w:kern w:val="0"/>
                <w:lang w:bidi="ar"/>
              </w:rPr>
              <w:t>追溯；</w:t>
            </w:r>
            <w:r>
              <w:rPr>
                <w:rFonts w:cs="宋体" w:asciiTheme="minorEastAsia" w:hAnsiTheme="minorEastAsia"/>
                <w:bCs/>
                <w:color w:val="000000"/>
                <w:kern w:val="0"/>
              </w:rPr>
              <w:t xml:space="preserve"> </w:t>
            </w:r>
          </w:p>
        </w:tc>
      </w:tr>
      <w:tr>
        <w:tblPrEx>
          <w:tblCellMar>
            <w:top w:w="0" w:type="dxa"/>
            <w:left w:w="0" w:type="dxa"/>
            <w:bottom w:w="0" w:type="dxa"/>
            <w:right w:w="0" w:type="dxa"/>
          </w:tblCellMar>
        </w:tblPrEx>
        <w:trPr>
          <w:trHeight w:val="828"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三</w:t>
            </w:r>
            <w:r>
              <w:rPr>
                <w:rFonts w:hint="eastAsia" w:asciiTheme="minorEastAsia" w:hAnsiTheme="minorEastAsia" w:cstheme="minorEastAsia"/>
                <w:kern w:val="0"/>
                <w:lang w:bidi="ar"/>
              </w:rPr>
              <w:t>权分立：提供管理员权限设置和分权管理，纪委监测用户、系统管理用户、安全规则管理用户权限分开，相应权限的用户只能查看、管理相应的功能，责任明确；</w:t>
            </w:r>
          </w:p>
        </w:tc>
      </w:tr>
      <w:tr>
        <w:tblPrEx>
          <w:tblCellMar>
            <w:top w:w="0" w:type="dxa"/>
            <w:left w:w="0" w:type="dxa"/>
            <w:bottom w:w="0" w:type="dxa"/>
            <w:right w:w="0" w:type="dxa"/>
          </w:tblCellMar>
        </w:tblPrEx>
        <w:trPr>
          <w:trHeight w:val="828"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系统支持对所有数据库审计系统管理人员的操作行为进行审计记录，如登审计系统系统管理人员的登录登出、规则修改、规则启用等，并由审计人员进行查询和审计，具有自身审计功能；</w:t>
            </w:r>
          </w:p>
        </w:tc>
      </w:tr>
      <w:tr>
        <w:tblPrEx>
          <w:tblCellMar>
            <w:top w:w="0" w:type="dxa"/>
            <w:left w:w="0" w:type="dxa"/>
            <w:bottom w:w="0" w:type="dxa"/>
            <w:right w:w="0" w:type="dxa"/>
          </w:tblCellMar>
        </w:tblPrEx>
        <w:trPr>
          <w:trHeight w:val="6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★支持系统管理人员异常操作监控，可按需选择需要告警的操作类别，未开启的操作类别不会发生告警。可以看到具体的告警日志信息，同时支持指定查询某时间段和某类型的告警日志查询。</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6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管理员登陆支持多因子认证：静态口令认证，短信验证，支持密码的复杂性管理，比如大小写、数字、特殊字符、长度等，支持自定义内不操作自动锁屏功能；</w:t>
            </w:r>
          </w:p>
        </w:tc>
      </w:tr>
      <w:tr>
        <w:tblPrEx>
          <w:tblCellMar>
            <w:top w:w="0" w:type="dxa"/>
            <w:left w:w="0" w:type="dxa"/>
            <w:bottom w:w="0" w:type="dxa"/>
            <w:right w:w="0" w:type="dxa"/>
          </w:tblCellMar>
        </w:tblPrEx>
        <w:trPr>
          <w:trHeight w:val="4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可提供审计策略和配置的导入导出；</w:t>
            </w:r>
          </w:p>
        </w:tc>
      </w:tr>
      <w:tr>
        <w:tblPrEx>
          <w:tblCellMar>
            <w:top w:w="0" w:type="dxa"/>
            <w:left w:w="0" w:type="dxa"/>
            <w:bottom w:w="0" w:type="dxa"/>
            <w:right w:w="0" w:type="dxa"/>
          </w:tblCellMar>
        </w:tblPrEx>
        <w:trPr>
          <w:trHeight w:val="489" w:hRule="atLeast"/>
          <w:jc w:val="center"/>
        </w:trPr>
        <w:tc>
          <w:tcPr>
            <w:tcW w:w="1688" w:type="dxa"/>
            <w:vMerge w:val="restart"/>
            <w:tcBorders>
              <w:top w:val="nil"/>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cs="lucida Grande" w:asciiTheme="minorEastAsia" w:hAnsiTheme="minorEastAsia"/>
                <w:color w:val="000000"/>
                <w:lang w:bidi="ar"/>
              </w:rPr>
              <w:t>审计数据管理</w:t>
            </w: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提供审计数据管理功能，能够实现对审计数据的自动备份、手动备份，支持增量、全量备份方式；</w:t>
            </w:r>
          </w:p>
        </w:tc>
      </w:tr>
      <w:tr>
        <w:tblPrEx>
          <w:tblCellMar>
            <w:top w:w="0" w:type="dxa"/>
            <w:left w:w="0" w:type="dxa"/>
            <w:bottom w:w="0" w:type="dxa"/>
            <w:right w:w="0" w:type="dxa"/>
          </w:tblCellMar>
        </w:tblPrEx>
        <w:trPr>
          <w:trHeight w:val="489" w:hRule="atLeast"/>
          <w:jc w:val="center"/>
        </w:trPr>
        <w:tc>
          <w:tcPr>
            <w:tcW w:w="1688" w:type="dxa"/>
            <w:vMerge w:val="continue"/>
            <w:tcBorders>
              <w:top w:val="nil"/>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提供审计数据的导出和导入功能；</w:t>
            </w:r>
          </w:p>
        </w:tc>
      </w:tr>
      <w:tr>
        <w:tblPrEx>
          <w:tblCellMar>
            <w:top w:w="0" w:type="dxa"/>
            <w:left w:w="0" w:type="dxa"/>
            <w:bottom w:w="0" w:type="dxa"/>
            <w:right w:w="0" w:type="dxa"/>
          </w:tblCellMar>
        </w:tblPrEx>
        <w:trPr>
          <w:trHeight w:val="489" w:hRule="atLeast"/>
          <w:jc w:val="center"/>
        </w:trPr>
        <w:tc>
          <w:tcPr>
            <w:tcW w:w="1688"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cs="lucida Grande" w:asciiTheme="minorEastAsia" w:hAnsiTheme="minorEastAsia"/>
                <w:color w:val="000000"/>
              </w:rPr>
            </w:pPr>
            <w:r>
              <w:rPr>
                <w:rFonts w:hint="eastAsia" w:cs="宋体" w:asciiTheme="minorEastAsia" w:hAnsiTheme="minorEastAsia"/>
                <w:color w:val="000000"/>
                <w:kern w:val="0"/>
                <w:lang w:bidi="ar"/>
              </w:rPr>
              <w:t>攻击检测能力</w:t>
            </w: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★支持对SQL注入、跨站脚本攻击等web攻击的识别与告警；</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4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★系统应具备自动发现未知仿冒进程工具的能力，通过对未知进程的监控从客户端工具使用的次数，客户端IP及次数、连接数据库次数等多维度进行安全评估和预警；</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4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系统应具备防范非法IP地址、防范暴力破解登录用户密码（能够对连续失败登陆进行自动锁定，锁定时间可设置）等安全功能；</w:t>
            </w:r>
            <w:r>
              <w:rPr>
                <w:rFonts w:cs="宋体" w:asciiTheme="minorEastAsia" w:hAnsiTheme="minorEastAsia"/>
                <w:bCs/>
                <w:color w:val="000000"/>
                <w:kern w:val="0"/>
              </w:rPr>
              <w:t xml:space="preserve"> </w:t>
            </w:r>
          </w:p>
        </w:tc>
      </w:tr>
      <w:tr>
        <w:tblPrEx>
          <w:tblCellMar>
            <w:top w:w="0" w:type="dxa"/>
            <w:left w:w="0" w:type="dxa"/>
            <w:bottom w:w="0" w:type="dxa"/>
            <w:right w:w="0" w:type="dxa"/>
          </w:tblCellMar>
        </w:tblPrEx>
        <w:trPr>
          <w:trHeight w:val="489" w:hRule="atLeast"/>
          <w:jc w:val="center"/>
        </w:trPr>
        <w:tc>
          <w:tcPr>
            <w:tcW w:w="1688"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系统本身应自带系统级的安全设置，对于统方和破坏数据库的危险行为如：拖库、删表、EXP备份导表等行为自动识别和告警；</w:t>
            </w:r>
            <w:r>
              <w:rPr>
                <w:rFonts w:cs="宋体" w:asciiTheme="minorEastAsia" w:hAnsiTheme="minorEastAsia"/>
                <w:bCs/>
                <w:color w:val="000000"/>
                <w:kern w:val="0"/>
              </w:rPr>
              <w:t xml:space="preserve"> </w:t>
            </w:r>
          </w:p>
        </w:tc>
      </w:tr>
      <w:tr>
        <w:tblPrEx>
          <w:tblCellMar>
            <w:top w:w="0" w:type="dxa"/>
            <w:left w:w="0" w:type="dxa"/>
            <w:bottom w:w="0" w:type="dxa"/>
            <w:right w:w="0" w:type="dxa"/>
          </w:tblCellMar>
        </w:tblPrEx>
        <w:trPr>
          <w:trHeight w:val="489" w:hRule="atLeast"/>
          <w:jc w:val="center"/>
        </w:trPr>
        <w:tc>
          <w:tcPr>
            <w:tcW w:w="168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asciiTheme="minorEastAsia" w:hAnsiTheme="minorEastAsia"/>
              </w:rPr>
            </w:pPr>
            <w:r>
              <w:rPr>
                <w:rFonts w:hint="eastAsia" w:cs="宋体" w:asciiTheme="minorEastAsia" w:hAnsiTheme="minorEastAsia"/>
                <w:bCs/>
                <w:color w:val="000000"/>
                <w:kern w:val="0"/>
                <w:lang w:bidi="ar"/>
              </w:rPr>
              <w:t>抗菌药物试剂及耗材分析模块</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★支持</w:t>
            </w:r>
            <w:r>
              <w:rPr>
                <w:rFonts w:cs="宋体" w:asciiTheme="minorEastAsia" w:hAnsiTheme="minorEastAsia"/>
                <w:bCs/>
                <w:color w:val="000000"/>
                <w:kern w:val="0"/>
                <w:lang w:bidi="ar"/>
              </w:rPr>
              <w:t>特定时间区间内抗菌药，药剂及耗材的种类，型号，规格，用量，价值的排名统计，并生成报表</w:t>
            </w:r>
            <w:r>
              <w:rPr>
                <w:rFonts w:hint="eastAsia" w:cs="宋体" w:asciiTheme="minorEastAsia" w:hAnsiTheme="minorEastAsia"/>
                <w:bCs/>
                <w:kern w:val="0"/>
                <w:lang w:bidi="ar"/>
              </w:rPr>
              <w:t>（</w:t>
            </w:r>
            <w:r>
              <w:rPr>
                <w:rFonts w:hint="eastAsia" w:cs="宋体" w:asciiTheme="minorEastAsia" w:hAnsiTheme="minorEastAsia"/>
                <w:lang w:bidi="ar"/>
              </w:rPr>
              <w:t>提供截图并加盖公章）</w:t>
            </w:r>
          </w:p>
        </w:tc>
      </w:tr>
      <w:tr>
        <w:tblPrEx>
          <w:tblCellMar>
            <w:top w:w="0" w:type="dxa"/>
            <w:left w:w="0" w:type="dxa"/>
            <w:bottom w:w="0" w:type="dxa"/>
            <w:right w:w="0" w:type="dxa"/>
          </w:tblCellMar>
        </w:tblPrEx>
        <w:trPr>
          <w:trHeight w:val="489" w:hRule="atLeast"/>
          <w:jc w:val="center"/>
        </w:trPr>
        <w:tc>
          <w:tcPr>
            <w:tcW w:w="1688"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asciiTheme="minorEastAsia" w:hAnsiTheme="minorEastAsia"/>
              </w:rPr>
            </w:pP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lang w:bidi="ar"/>
              </w:rPr>
            </w:pPr>
            <w:r>
              <w:rPr>
                <w:rFonts w:hint="eastAsia" w:cs="宋体" w:asciiTheme="minorEastAsia" w:hAnsiTheme="minorEastAsia"/>
                <w:bCs/>
                <w:color w:val="000000"/>
                <w:kern w:val="0"/>
                <w:lang w:bidi="ar"/>
              </w:rPr>
              <w:t>支持</w:t>
            </w:r>
            <w:r>
              <w:rPr>
                <w:rFonts w:cs="宋体" w:asciiTheme="minorEastAsia" w:hAnsiTheme="minorEastAsia"/>
                <w:bCs/>
                <w:color w:val="000000"/>
                <w:kern w:val="0"/>
                <w:lang w:bidi="ar"/>
              </w:rPr>
              <w:t>对药物，药剂，耗材的全程监控，支持</w:t>
            </w:r>
            <w:r>
              <w:rPr>
                <w:rFonts w:hint="eastAsia" w:cs="宋体" w:asciiTheme="minorEastAsia" w:hAnsiTheme="minorEastAsia"/>
                <w:bCs/>
                <w:color w:val="000000"/>
                <w:kern w:val="0"/>
                <w:lang w:bidi="ar"/>
              </w:rPr>
              <w:t>模糊条件</w:t>
            </w:r>
            <w:r>
              <w:rPr>
                <w:rFonts w:cs="宋体" w:asciiTheme="minorEastAsia" w:hAnsiTheme="minorEastAsia"/>
                <w:bCs/>
                <w:color w:val="000000"/>
                <w:kern w:val="0"/>
                <w:lang w:bidi="ar"/>
              </w:rPr>
              <w:t>查询</w:t>
            </w:r>
            <w:r>
              <w:rPr>
                <w:rFonts w:hint="eastAsia" w:cs="宋体" w:asciiTheme="minorEastAsia" w:hAnsiTheme="minorEastAsia"/>
                <w:bCs/>
                <w:color w:val="000000"/>
                <w:kern w:val="0"/>
                <w:lang w:bidi="ar"/>
              </w:rPr>
              <w:t>和</w:t>
            </w:r>
            <w:r>
              <w:rPr>
                <w:rFonts w:cs="宋体" w:asciiTheme="minorEastAsia" w:hAnsiTheme="minorEastAsia"/>
                <w:bCs/>
                <w:color w:val="000000"/>
                <w:kern w:val="0"/>
                <w:lang w:bidi="ar"/>
              </w:rPr>
              <w:t>精准条件查询</w:t>
            </w:r>
            <w:r>
              <w:rPr>
                <w:rFonts w:hint="eastAsia" w:cs="宋体" w:asciiTheme="minorEastAsia" w:hAnsiTheme="minorEastAsia"/>
                <w:bCs/>
                <w:color w:val="000000"/>
                <w:kern w:val="0"/>
                <w:lang w:bidi="ar"/>
              </w:rPr>
              <w:t>。支持</w:t>
            </w:r>
            <w:r>
              <w:rPr>
                <w:rFonts w:cs="宋体" w:asciiTheme="minorEastAsia" w:hAnsiTheme="minorEastAsia"/>
                <w:bCs/>
                <w:color w:val="000000"/>
                <w:kern w:val="0"/>
                <w:lang w:bidi="ar"/>
              </w:rPr>
              <w:t>对</w:t>
            </w:r>
            <w:r>
              <w:rPr>
                <w:rFonts w:hint="eastAsia" w:cs="宋体" w:asciiTheme="minorEastAsia" w:hAnsiTheme="minorEastAsia"/>
                <w:bCs/>
                <w:color w:val="000000"/>
                <w:kern w:val="0"/>
                <w:lang w:bidi="ar"/>
              </w:rPr>
              <w:t>药物</w:t>
            </w:r>
            <w:r>
              <w:rPr>
                <w:rFonts w:cs="宋体" w:asciiTheme="minorEastAsia" w:hAnsiTheme="minorEastAsia"/>
                <w:bCs/>
                <w:color w:val="000000"/>
                <w:kern w:val="0"/>
                <w:lang w:bidi="ar"/>
              </w:rPr>
              <w:t>，药剂，耗材统计数据</w:t>
            </w:r>
            <w:r>
              <w:rPr>
                <w:rFonts w:hint="eastAsia" w:cs="宋体" w:asciiTheme="minorEastAsia" w:hAnsiTheme="minorEastAsia"/>
                <w:bCs/>
                <w:color w:val="000000"/>
                <w:kern w:val="0"/>
                <w:lang w:bidi="ar"/>
              </w:rPr>
              <w:t>实时</w:t>
            </w:r>
            <w:r>
              <w:rPr>
                <w:rFonts w:cs="宋体" w:asciiTheme="minorEastAsia" w:hAnsiTheme="minorEastAsia"/>
                <w:bCs/>
                <w:color w:val="000000"/>
                <w:kern w:val="0"/>
                <w:lang w:bidi="ar"/>
              </w:rPr>
              <w:t>上报和告警</w:t>
            </w:r>
          </w:p>
        </w:tc>
      </w:tr>
      <w:tr>
        <w:tblPrEx>
          <w:tblCellMar>
            <w:top w:w="0" w:type="dxa"/>
            <w:left w:w="0" w:type="dxa"/>
            <w:bottom w:w="0" w:type="dxa"/>
            <w:right w:w="0" w:type="dxa"/>
          </w:tblCellMar>
        </w:tblPrEx>
        <w:trPr>
          <w:trHeight w:val="412" w:hRule="atLeast"/>
          <w:jc w:val="center"/>
        </w:trPr>
        <w:tc>
          <w:tcPr>
            <w:tcW w:w="1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Theme="minorEastAsia" w:hAnsiTheme="minorEastAsia"/>
                <w:color w:val="000000"/>
              </w:rPr>
            </w:pPr>
            <w:r>
              <w:rPr>
                <w:rFonts w:hint="eastAsia" w:cs="宋体" w:asciiTheme="minorEastAsia" w:hAnsiTheme="minorEastAsia"/>
                <w:color w:val="000000"/>
                <w:kern w:val="0"/>
                <w:lang w:bidi="ar"/>
              </w:rPr>
              <w:t>第三方接口功能</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支持Syslog和SNMP Trap方式向外发送审计日志，支持与第三方邮件和短信系统对接，可外置短信猫，支持GSM卡，提供接口可实现与网络设备的联动。</w:t>
            </w:r>
          </w:p>
        </w:tc>
      </w:tr>
      <w:tr>
        <w:tblPrEx>
          <w:tblCellMar>
            <w:top w:w="0" w:type="dxa"/>
            <w:left w:w="0" w:type="dxa"/>
            <w:bottom w:w="0" w:type="dxa"/>
            <w:right w:w="0" w:type="dxa"/>
          </w:tblCellMar>
        </w:tblPrEx>
        <w:trPr>
          <w:trHeight w:val="402"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rPr>
            </w:pP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cs="宋体" w:asciiTheme="minorEastAsia" w:hAnsiTheme="minorEastAsia"/>
                <w:bCs/>
                <w:color w:val="000000"/>
                <w:kern w:val="0"/>
              </w:rPr>
            </w:pPr>
            <w:r>
              <w:rPr>
                <w:rFonts w:hint="eastAsia" w:cs="宋体" w:asciiTheme="minorEastAsia" w:hAnsiTheme="minorEastAsia"/>
                <w:bCs/>
                <w:color w:val="000000"/>
                <w:kern w:val="0"/>
                <w:lang w:bidi="ar"/>
              </w:rPr>
              <w:t>提供接口可实现与网络设备的联动；</w:t>
            </w:r>
          </w:p>
        </w:tc>
      </w:tr>
      <w:tr>
        <w:tblPrEx>
          <w:tblCellMar>
            <w:top w:w="0" w:type="dxa"/>
            <w:left w:w="0" w:type="dxa"/>
            <w:bottom w:w="0" w:type="dxa"/>
            <w:right w:w="0" w:type="dxa"/>
          </w:tblCellMar>
        </w:tblPrEx>
        <w:trPr>
          <w:trHeight w:val="432"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rPr>
            </w:pP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eastAsia" w:cs="宋体" w:asciiTheme="minorEastAsia" w:hAnsiTheme="minorEastAsia"/>
                <w:color w:val="000000"/>
                <w:kern w:val="0"/>
                <w:lang w:bidi="ar"/>
              </w:rPr>
              <w:t>支持与FTP服务器对接（备份与还原），FTP存储进行加密处理，只有通过专门的工具进行恢复和查询浏览；</w:t>
            </w: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pPr>
        <w:spacing w:line="48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2、除文件中所明确的技术规格外，欢迎其他能满足本项目技术需求且性能相当于或高于的产品参加。同时在技术偏离表中作出详细对比说明</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参数中</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部分必须满足要求。</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、本项目不接受联合体投标。</w:t>
      </w:r>
    </w:p>
    <w:p>
      <w:pPr>
        <w:pStyle w:val="2"/>
      </w:pP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w:t>
      </w:r>
      <w:r>
        <w:rPr>
          <w:rFonts w:hint="eastAsia" w:ascii="仿宋_GB2312" w:hAnsi="仿宋_GB2312" w:eastAsia="仿宋_GB2312" w:cs="仿宋_GB2312"/>
          <w:color w:val="FF0000"/>
          <w:sz w:val="28"/>
          <w:szCs w:val="28"/>
        </w:rPr>
        <w:t>并在1</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.提交实施服务报告。</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.系统运行状态检查。</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验收合格后一次性支付项目合同款95%，供应商需留存质量保证</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金合同总价的5%。采购单位验收合格且质保期满后，无质量问</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题将质量保证金无息退还给供应商。</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面，要求写明文件名称、投标单位名称（盖章）、地址、投标</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单位法定代表人（签字或盖章），投标单位联系人，联系电话），</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表不是法定代表人的，须附有授权委托书，法定代表人身份证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收和社会保障资金的相关材料。或不需要缴纳社会保障资金的，</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-日。超过报名期限，报名无效。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6612123  6612857</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bookmarkStart w:id="0" w:name="_GoBack"/>
      <w:bookmarkEnd w:id="0"/>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1"/>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ucida Grand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ODdjMzQxMjk5MjdjYjFiYmIyNjYyZjIyYTY0M2EifQ=="/>
  </w:docVars>
  <w:rsids>
    <w:rsidRoot w:val="274C36AC"/>
    <w:rsid w:val="000A6B4D"/>
    <w:rsid w:val="000E0E27"/>
    <w:rsid w:val="00215371"/>
    <w:rsid w:val="002928AD"/>
    <w:rsid w:val="002B26D7"/>
    <w:rsid w:val="0056001E"/>
    <w:rsid w:val="00577EA8"/>
    <w:rsid w:val="00590E07"/>
    <w:rsid w:val="005B2D51"/>
    <w:rsid w:val="00614600"/>
    <w:rsid w:val="00747C14"/>
    <w:rsid w:val="007770AE"/>
    <w:rsid w:val="007C063A"/>
    <w:rsid w:val="008218A2"/>
    <w:rsid w:val="008574B4"/>
    <w:rsid w:val="00944F99"/>
    <w:rsid w:val="00957DB9"/>
    <w:rsid w:val="00980991"/>
    <w:rsid w:val="009D00E8"/>
    <w:rsid w:val="00A45DDA"/>
    <w:rsid w:val="00AE2698"/>
    <w:rsid w:val="00B1297D"/>
    <w:rsid w:val="00B417BE"/>
    <w:rsid w:val="00B45064"/>
    <w:rsid w:val="00B5181C"/>
    <w:rsid w:val="00BB6D90"/>
    <w:rsid w:val="00C01904"/>
    <w:rsid w:val="00C4235B"/>
    <w:rsid w:val="00CC73FF"/>
    <w:rsid w:val="00D12778"/>
    <w:rsid w:val="00D3767D"/>
    <w:rsid w:val="00D6456A"/>
    <w:rsid w:val="00DD1236"/>
    <w:rsid w:val="03174096"/>
    <w:rsid w:val="050140F6"/>
    <w:rsid w:val="05410980"/>
    <w:rsid w:val="072D4A49"/>
    <w:rsid w:val="09182F28"/>
    <w:rsid w:val="0B022976"/>
    <w:rsid w:val="0E760A58"/>
    <w:rsid w:val="0EA25227"/>
    <w:rsid w:val="0FDF5034"/>
    <w:rsid w:val="11665AD8"/>
    <w:rsid w:val="11D37C8C"/>
    <w:rsid w:val="1666025D"/>
    <w:rsid w:val="16775FC6"/>
    <w:rsid w:val="16CF4C05"/>
    <w:rsid w:val="1991739F"/>
    <w:rsid w:val="1C4A23CF"/>
    <w:rsid w:val="1D1D61ED"/>
    <w:rsid w:val="1DBF33D6"/>
    <w:rsid w:val="20E547E2"/>
    <w:rsid w:val="231B00C0"/>
    <w:rsid w:val="25511304"/>
    <w:rsid w:val="25CD79B1"/>
    <w:rsid w:val="274C36AC"/>
    <w:rsid w:val="27DC7057"/>
    <w:rsid w:val="28821F99"/>
    <w:rsid w:val="2A816FBC"/>
    <w:rsid w:val="2C365656"/>
    <w:rsid w:val="2C445632"/>
    <w:rsid w:val="2FAC6889"/>
    <w:rsid w:val="32F24260"/>
    <w:rsid w:val="3332035D"/>
    <w:rsid w:val="354457B6"/>
    <w:rsid w:val="35692C47"/>
    <w:rsid w:val="367040CD"/>
    <w:rsid w:val="369F6410"/>
    <w:rsid w:val="390A7E67"/>
    <w:rsid w:val="39AD1B7B"/>
    <w:rsid w:val="3B0E03F8"/>
    <w:rsid w:val="3B5C2AB8"/>
    <w:rsid w:val="3B800BCA"/>
    <w:rsid w:val="3E001ACB"/>
    <w:rsid w:val="3F7E2D29"/>
    <w:rsid w:val="400E575F"/>
    <w:rsid w:val="44305883"/>
    <w:rsid w:val="46BA0F8B"/>
    <w:rsid w:val="48A95C04"/>
    <w:rsid w:val="4A8B7146"/>
    <w:rsid w:val="4B9366F7"/>
    <w:rsid w:val="4DC0318A"/>
    <w:rsid w:val="4EA561F2"/>
    <w:rsid w:val="4EC240F1"/>
    <w:rsid w:val="4F037DBD"/>
    <w:rsid w:val="4F195FC5"/>
    <w:rsid w:val="50695DFD"/>
    <w:rsid w:val="539A1A43"/>
    <w:rsid w:val="5452714F"/>
    <w:rsid w:val="54A57831"/>
    <w:rsid w:val="56B50A62"/>
    <w:rsid w:val="56DE65BB"/>
    <w:rsid w:val="57B123DF"/>
    <w:rsid w:val="593372DF"/>
    <w:rsid w:val="5BFA49A5"/>
    <w:rsid w:val="5DC11AA1"/>
    <w:rsid w:val="5DD9376C"/>
    <w:rsid w:val="5E0F1C0D"/>
    <w:rsid w:val="614F3DBC"/>
    <w:rsid w:val="615675DB"/>
    <w:rsid w:val="63116428"/>
    <w:rsid w:val="64E020F2"/>
    <w:rsid w:val="65BF660F"/>
    <w:rsid w:val="663A3EE7"/>
    <w:rsid w:val="670544F5"/>
    <w:rsid w:val="67BC4283"/>
    <w:rsid w:val="684E3579"/>
    <w:rsid w:val="68F159A6"/>
    <w:rsid w:val="69BB70ED"/>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796</Words>
  <Characters>4542</Characters>
  <Lines>37</Lines>
  <Paragraphs>10</Paragraphs>
  <TotalTime>6</TotalTime>
  <ScaleCrop>false</ScaleCrop>
  <LinksUpToDate>false</LinksUpToDate>
  <CharactersWithSpaces>5328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2023-10-13T06:41:00Z</dcterms:created>
  <dc:creator>勇咣</dc:creator>
  <cp:lastModifiedBy>ztb</cp:lastModifiedBy>
  <cp:lastPrinted>2022-07-11T06:35:00Z</cp:lastPrinted>
  <dcterms:modified xsi:type="dcterms:W3CDTF">2023-11-03T05:43:50Z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D95DCAEADEC949B492974C9B139B78FD_13</vt:lpwstr>
  </property>
</Properties>
</file>