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74EF5">
      <w:pPr>
        <w:pStyle w:val="8"/>
        <w:adjustRightInd w:val="0"/>
        <w:spacing w:after="312" w:afterLines="100" w:line="600" w:lineRule="exact"/>
        <w:jc w:val="center"/>
        <w:outlineLvl w:val="0"/>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大庆市人民医院</w:t>
      </w:r>
      <w:r>
        <w:rPr>
          <w:rFonts w:hint="eastAsia" w:ascii="仿宋_GB2312" w:hAnsi="仿宋_GB2312" w:eastAsia="仿宋_GB2312" w:cs="仿宋_GB2312"/>
          <w:b/>
          <w:bCs/>
          <w:sz w:val="36"/>
          <w:szCs w:val="36"/>
          <w:lang w:val="en-US" w:eastAsia="zh-CN"/>
        </w:rPr>
        <w:t>住院医师规范化培训医学考试系统项目</w:t>
      </w:r>
    </w:p>
    <w:p w14:paraId="61750191">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一、采购单位：大庆市人民医院</w:t>
      </w:r>
    </w:p>
    <w:p w14:paraId="2BF76D25">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二、项目名称：大庆市人民医院住院医师规范化培训医学考试系统项目</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编号:</w:t>
      </w:r>
      <w:r>
        <w:rPr>
          <w:rFonts w:hint="eastAsia" w:ascii="仿宋_GB2312" w:hAnsi="仿宋_GB2312" w:eastAsia="仿宋_GB2312" w:cs="仿宋_GB2312"/>
          <w:b/>
          <w:bCs/>
          <w:sz w:val="28"/>
          <w:szCs w:val="28"/>
          <w:lang w:val="en-US" w:eastAsia="zh-CN"/>
        </w:rPr>
        <w:t>XXZX2024001</w:t>
      </w:r>
      <w:r>
        <w:rPr>
          <w:rFonts w:hint="eastAsia" w:ascii="仿宋_GB2312" w:hAnsi="仿宋_GB2312" w:eastAsia="仿宋_GB2312" w:cs="仿宋_GB2312"/>
          <w:b/>
          <w:bCs/>
          <w:sz w:val="28"/>
          <w:szCs w:val="28"/>
        </w:rPr>
        <w:t>）</w:t>
      </w:r>
    </w:p>
    <w:p w14:paraId="295158E3">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三、采购方式：竞争性谈判</w:t>
      </w:r>
    </w:p>
    <w:p w14:paraId="7821D10A">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四、采购预算：</w:t>
      </w:r>
      <w:r>
        <w:rPr>
          <w:rFonts w:hint="eastAsia" w:ascii="仿宋_GB2312" w:hAnsi="仿宋_GB2312" w:eastAsia="仿宋_GB2312" w:cs="仿宋_GB2312"/>
          <w:b/>
          <w:bCs/>
          <w:sz w:val="28"/>
          <w:szCs w:val="28"/>
          <w:lang w:val="en-US" w:eastAsia="zh-CN"/>
        </w:rPr>
        <w:t>230000</w:t>
      </w:r>
      <w:r>
        <w:rPr>
          <w:rFonts w:hint="eastAsia" w:ascii="仿宋_GB2312" w:hAnsi="仿宋_GB2312" w:eastAsia="仿宋_GB2312" w:cs="仿宋_GB2312"/>
          <w:b/>
          <w:bCs/>
          <w:sz w:val="28"/>
          <w:szCs w:val="28"/>
        </w:rPr>
        <w:t>元（报价超出采购预算为无效报价）。</w:t>
      </w:r>
    </w:p>
    <w:p w14:paraId="4EA083D9">
      <w:pPr>
        <w:pStyle w:val="8"/>
        <w:adjustRightInd w:val="0"/>
        <w:spacing w:after="312" w:afterLines="100" w:line="600" w:lineRule="exact"/>
        <w:ind w:firstLine="562" w:firstLineChars="200"/>
        <w:outlineLvl w:val="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五、采购内容及技术要求：</w:t>
      </w:r>
    </w:p>
    <w:tbl>
      <w:tblPr>
        <w:tblStyle w:val="5"/>
        <w:tblW w:w="7817"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801"/>
        <w:gridCol w:w="735"/>
        <w:gridCol w:w="539"/>
        <w:gridCol w:w="4170"/>
      </w:tblGrid>
      <w:tr w14:paraId="1BE1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14:paraId="638CFD08">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801" w:type="dxa"/>
            <w:vAlign w:val="center"/>
          </w:tcPr>
          <w:p w14:paraId="37521F36">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735" w:type="dxa"/>
            <w:vAlign w:val="center"/>
          </w:tcPr>
          <w:p w14:paraId="23F2A21F">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539" w:type="dxa"/>
            <w:vAlign w:val="center"/>
          </w:tcPr>
          <w:p w14:paraId="7BD02E76">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4170" w:type="dxa"/>
            <w:vAlign w:val="center"/>
          </w:tcPr>
          <w:p w14:paraId="7B49D693">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功能及技术参数等</w:t>
            </w:r>
          </w:p>
        </w:tc>
      </w:tr>
      <w:tr w14:paraId="39BE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14:paraId="6C9B4CB2">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801" w:type="dxa"/>
            <w:vAlign w:val="center"/>
          </w:tcPr>
          <w:p w14:paraId="63378400">
            <w:pPr>
              <w:widowControl/>
              <w:jc w:val="center"/>
              <w:rPr>
                <w:rFonts w:ascii="仿宋_GB2312" w:hAnsi="仿宋_GB2312" w:eastAsia="仿宋_GB2312" w:cs="仿宋_GB2312"/>
                <w:szCs w:val="21"/>
              </w:rPr>
            </w:pPr>
            <w:r>
              <w:rPr>
                <w:rFonts w:hint="eastAsia" w:ascii="微软雅黑" w:hAnsi="微软雅黑" w:eastAsia="微软雅黑" w:cs="微软雅黑"/>
                <w:color w:val="000000"/>
                <w:sz w:val="18"/>
                <w:szCs w:val="18"/>
                <w:lang w:val="en-US" w:eastAsia="zh-CN"/>
              </w:rPr>
              <w:t>住院医师规范化培训医学考试系统</w:t>
            </w:r>
          </w:p>
        </w:tc>
        <w:tc>
          <w:tcPr>
            <w:tcW w:w="735" w:type="dxa"/>
            <w:vAlign w:val="center"/>
          </w:tcPr>
          <w:p w14:paraId="3B61A1EC">
            <w:pPr>
              <w:widowControl/>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39" w:type="dxa"/>
            <w:vAlign w:val="center"/>
          </w:tcPr>
          <w:p w14:paraId="589AFB47">
            <w:pPr>
              <w:widowControl/>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4170" w:type="dxa"/>
            <w:vAlign w:val="center"/>
          </w:tcPr>
          <w:p w14:paraId="1C24077E">
            <w:pPr>
              <w:pStyle w:val="11"/>
              <w:numPr>
                <w:ilvl w:val="0"/>
                <w:numId w:val="1"/>
              </w:numPr>
              <w:ind w:left="425" w:leftChars="0" w:hanging="425" w:firstLineChars="0"/>
              <w:outlineLvl w:val="1"/>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前台功能</w:t>
            </w:r>
          </w:p>
          <w:p w14:paraId="3755E0CE">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在线考试</w:t>
            </w:r>
          </w:p>
          <w:p w14:paraId="02DA2973">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支持手机端和电脑端考试.</w:t>
            </w:r>
          </w:p>
          <w:p w14:paraId="45A8A5FB">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w:t>
            </w:r>
            <w:r>
              <w:rPr>
                <w:rFonts w:hint="eastAsia" w:ascii="微软雅黑" w:hAnsi="微软雅黑" w:eastAsia="微软雅黑" w:cstheme="minorBidi"/>
                <w:snapToGrid w:val="0"/>
                <w:color w:val="000000"/>
                <w:kern w:val="0"/>
                <w:sz w:val="22"/>
                <w:szCs w:val="22"/>
                <w:lang w:val="en-US" w:eastAsia="zh-Hans" w:bidi="ar-SA"/>
              </w:rPr>
              <w:t>数据实时存储:支持答一题存一题功能,答题记录实时存储在服务器端,支持异常中断后继续上次答题</w:t>
            </w:r>
          </w:p>
          <w:p w14:paraId="3828C6A8">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w:t>
            </w:r>
            <w:r>
              <w:rPr>
                <w:rFonts w:hint="eastAsia" w:ascii="微软雅黑" w:hAnsi="微软雅黑" w:eastAsia="微软雅黑" w:cstheme="minorBidi"/>
                <w:snapToGrid w:val="0"/>
                <w:color w:val="000000"/>
                <w:kern w:val="0"/>
                <w:sz w:val="22"/>
                <w:szCs w:val="22"/>
                <w:lang w:val="en-US" w:eastAsia="zh-Hans" w:bidi="ar-SA"/>
              </w:rPr>
              <w:t>支持防作弊功能:手机端签到、人脸识别、切屏锁定解锁、随机抓拍;支持记录考试中的考生个人监控,记录考生进入试卷、锁定解锁、交卷等时间轨迹.电脑端支持防作弊切屏功能.</w:t>
            </w:r>
          </w:p>
          <w:p w14:paraId="7FB89C53">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考生终端:可以指定答题终端类型,设定后考生仅可用指定的设备类型参加考试.可通过考试记录查看成绩和答题记录,查看题型得分情况和知识点得分情况,支持错题集、笔记和收藏</w:t>
            </w:r>
          </w:p>
          <w:p w14:paraId="13334835">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模拟练习</w:t>
            </w:r>
          </w:p>
          <w:p w14:paraId="5DE0F74C">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随机练习：根据题型选择试题，满足多种维度练习的需求</w:t>
            </w:r>
          </w:p>
          <w:p w14:paraId="03D89E0B">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章节练习：按学科章节组织试题，满足课前预习、课后同步练习的学习需要，让学习更有针对性</w:t>
            </w:r>
          </w:p>
          <w:p w14:paraId="1B43EAF5">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试题解析：疑点难点深入剖析，随时查看快速释疑，有效提升学习质量</w:t>
            </w:r>
          </w:p>
          <w:p w14:paraId="558AD95E">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同步测验：按学科组织试题，有针对性组织模拟测验，可自由选择测验时间</w:t>
            </w:r>
          </w:p>
          <w:p w14:paraId="24BBF0FE">
            <w:pPr>
              <w:pStyle w:val="11"/>
              <w:numPr>
                <w:ilvl w:val="0"/>
                <w:numId w:val="1"/>
              </w:numPr>
              <w:ind w:left="425" w:leftChars="0" w:hanging="425"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后台管理</w:t>
            </w:r>
          </w:p>
          <w:p w14:paraId="4101C148">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用户权限管理</w:t>
            </w:r>
          </w:p>
          <w:p w14:paraId="4A92ED1A">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包含用户的添加、删除、修改和查询。可用Excel表格批量导入用户。可重置用户密码，修改用户信息。</w:t>
            </w:r>
          </w:p>
          <w:p w14:paraId="061A3ECC">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用户分角色，权限有细类，分类管理更方便。系统支持系统管理员、考试管理员、科室管理员、专业基地管理员、组卷教师、考生等角色分类。</w:t>
            </w:r>
          </w:p>
          <w:p w14:paraId="2AAAB96E">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试卷管理</w:t>
            </w:r>
          </w:p>
          <w:p w14:paraId="4D43882F">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支持按知识点或题型组卷,可跨题库,跨学科、跨专业组卷</w:t>
            </w:r>
          </w:p>
          <w:p w14:paraId="4D2B1FD9">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w:t>
            </w:r>
            <w:r>
              <w:rPr>
                <w:rFonts w:hint="eastAsia" w:ascii="微软雅黑" w:hAnsi="微软雅黑" w:eastAsia="微软雅黑" w:cstheme="minorBidi"/>
                <w:snapToGrid w:val="0"/>
                <w:color w:val="000000"/>
                <w:kern w:val="0"/>
                <w:sz w:val="22"/>
                <w:szCs w:val="22"/>
                <w:lang w:val="en-US" w:eastAsia="zh-Hans" w:bidi="ar-SA"/>
              </w:rPr>
              <w:t>支持智能组卷、手动组卷、以卷组卷、随机试卷等多种组卷方式.</w:t>
            </w:r>
          </w:p>
          <w:p w14:paraId="7FE23460">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支持试卷预览、导出打印、试卷编辑过程中手动换题和自动换题.</w:t>
            </w:r>
          </w:p>
          <w:p w14:paraId="55BAE36E">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智能组卷支持抽题排重:题干相似度排重、抽题时间排重、指定试卷排重、随机试卷及份数、支持比例抽题.</w:t>
            </w:r>
          </w:p>
          <w:p w14:paraId="3F84733B">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试题乱序:试卷支持试题乱序可将试卷题序打乱,选项乱序可将选择题选项随机</w:t>
            </w:r>
          </w:p>
          <w:p w14:paraId="27F43AD2">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复制试卷:按原样复制保持试题不变,按试题规则复制提取试卷规则更换试题.</w:t>
            </w:r>
          </w:p>
          <w:p w14:paraId="05042E85">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试卷加密解密,系统支持组卷人对试卷进行加密解密.</w:t>
            </w:r>
          </w:p>
          <w:p w14:paraId="3E53095A">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试卷和考试支持自定义分类:试卷和考试(考务)独立分开,试卷和考试可各自复用.</w:t>
            </w:r>
          </w:p>
          <w:p w14:paraId="732FA328">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考试管理</w:t>
            </w:r>
          </w:p>
          <w:p w14:paraId="6A8A8E64">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支持人脸识别、随机抓拍、试题水印、无操作交卷,支持答题随机截屏.</w:t>
            </w:r>
          </w:p>
          <w:p w14:paraId="6C18AF6A">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支持移除界面切屏限制(支持自定义解锁码及解锁机会)</w:t>
            </w:r>
          </w:p>
          <w:p w14:paraId="467830C2">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w:t>
            </w:r>
            <w:r>
              <w:rPr>
                <w:rFonts w:hint="eastAsia" w:ascii="微软雅黑" w:hAnsi="微软雅黑" w:eastAsia="微软雅黑" w:cstheme="minorBidi"/>
                <w:snapToGrid w:val="0"/>
                <w:color w:val="000000"/>
                <w:kern w:val="0"/>
                <w:sz w:val="22"/>
                <w:szCs w:val="22"/>
                <w:lang w:val="en-US" w:eastAsia="zh-Hans" w:bidi="ar-SA"/>
              </w:rPr>
              <w:t>支持批量考务(可以分批次科目进行考试、批量导出/导入考试信息、批量设置考试时间),批量导出参考人员、批量一键收卷、批量监控考试、考试的启用与停用</w:t>
            </w:r>
          </w:p>
          <w:p w14:paraId="761D4749">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考生管理</w:t>
            </w:r>
          </w:p>
          <w:p w14:paraId="4353009D">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w:t>
            </w:r>
            <w:r>
              <w:rPr>
                <w:rFonts w:hint="eastAsia" w:ascii="微软雅黑" w:hAnsi="微软雅黑" w:eastAsia="微软雅黑" w:cstheme="minorBidi"/>
                <w:snapToGrid w:val="0"/>
                <w:color w:val="000000"/>
                <w:kern w:val="0"/>
                <w:sz w:val="22"/>
                <w:szCs w:val="22"/>
                <w:lang w:val="en-US" w:eastAsia="zh-Hans" w:bidi="ar-SA"/>
              </w:rPr>
              <w:t>可以设置重新考试、加入考生/带入考生/删除考生/导出参考人员、恢复考试、强制交卷/一键收卷</w:t>
            </w:r>
          </w:p>
          <w:p w14:paraId="02B51DAD">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考试监控:可以实时监控考试状况,包含考试人数、交卷人数、缺考人数、登录的客户端.</w:t>
            </w:r>
          </w:p>
          <w:p w14:paraId="7F7A4B88">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延长作答时长:对指定考生延长答题时长.</w:t>
            </w:r>
          </w:p>
          <w:p w14:paraId="2393385C">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增加答题机会:给指定考生增加答题机会,增加后考生可再次进入答题.</w:t>
            </w:r>
          </w:p>
          <w:p w14:paraId="2118E0A2">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考生个人监控:记录考生进入试卷、锁定解锁、随机抓拍、答题情况、交卷时间轨迹;</w:t>
            </w:r>
          </w:p>
          <w:p w14:paraId="6A2C34FC">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成绩管理</w:t>
            </w:r>
          </w:p>
          <w:p w14:paraId="2D4A4850">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批量公布成绩:为未公布成绩和答题记录的考试公布成绩及答题记录.客观性(如选择)题可以立即显示成绩;主观性(如问答)题可在考试后由教师阅卷添加评语评分.</w:t>
            </w:r>
          </w:p>
          <w:p w14:paraId="50E5CA46">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导出考试成绩:考试结束后,可支持成绩导出.支持自定义导出内容.</w:t>
            </w:r>
          </w:p>
          <w:p w14:paraId="7987FC74">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试卷导出:考试完成的试卷支持下载,便于存档,支持word和PDF格式导出,支持自定义导出信息</w:t>
            </w:r>
          </w:p>
          <w:p w14:paraId="23254396">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考试分析</w:t>
            </w:r>
          </w:p>
          <w:p w14:paraId="61841BB5">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成绩分析:按应考人数、缺考人数、平均用时、成绩的最低分、最高分、平均分、及格人数、及格率.</w:t>
            </w:r>
          </w:p>
          <w:p w14:paraId="2B8B33D7">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成绩区间统计:统计各个成绩区间的人数.</w:t>
            </w:r>
          </w:p>
          <w:p w14:paraId="6EBD14F3">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题型分析:各题型的正确率、答对分数、答错分数、未答分数、总分、平均分、题数.</w:t>
            </w:r>
          </w:p>
          <w:p w14:paraId="26E0C592">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试题分析:统计每道题的参答人数、答对人数、答错人数、未答人数、正确率.</w:t>
            </w:r>
          </w:p>
          <w:p w14:paraId="2FE02BF5">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导出考试分析:支持导出整场考试的数据分析.</w:t>
            </w:r>
          </w:p>
          <w:p w14:paraId="5CD80752">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支持对考试结果进行全维度分析,包括考题分析、每个考生情况分析、每个基地情况分析.</w:t>
            </w:r>
          </w:p>
          <w:p w14:paraId="21404930">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资料查阅</w:t>
            </w:r>
          </w:p>
          <w:p w14:paraId="5F98ECF5">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微软雅黑"/>
                <w:color w:val="000000"/>
                <w:kern w:val="0"/>
                <w:sz w:val="22"/>
                <w:szCs w:val="22"/>
                <w:lang w:eastAsia="zh-CN" w:bidi="ar"/>
              </w:rPr>
              <w:t>★</w:t>
            </w:r>
            <w:r>
              <w:rPr>
                <w:rFonts w:hint="eastAsia" w:ascii="微软雅黑" w:hAnsi="微软雅黑" w:eastAsia="微软雅黑" w:cs="微软雅黑"/>
                <w:color w:val="000000"/>
                <w:kern w:val="0"/>
                <w:sz w:val="22"/>
                <w:szCs w:val="22"/>
                <w:lang w:val="en-US" w:eastAsia="zh-CN" w:bidi="ar"/>
              </w:rPr>
              <w:t>学生端可以查看</w:t>
            </w:r>
            <w:r>
              <w:rPr>
                <w:rFonts w:hint="eastAsia" w:ascii="微软雅黑" w:hAnsi="微软雅黑" w:eastAsia="微软雅黑" w:cs="微软雅黑"/>
                <w:color w:val="000000"/>
                <w:kern w:val="0"/>
                <w:sz w:val="22"/>
                <w:szCs w:val="22"/>
                <w:lang w:bidi="ar"/>
              </w:rPr>
              <w:t>临床医学本科50门数字化教材，总文字量不少于5000万字，其中高清多媒体图片不少于20000张、二维、三维动画不少于800段，高清医学视频不少于1000段，病例、案例分析不少于500个。</w:t>
            </w:r>
            <w:r>
              <w:rPr>
                <w:rFonts w:hint="eastAsia" w:ascii="微软雅黑" w:hAnsi="微软雅黑" w:eastAsia="微软雅黑" w:cstheme="minorBidi"/>
                <w:snapToGrid w:val="0"/>
                <w:color w:val="000000"/>
                <w:kern w:val="0"/>
                <w:sz w:val="22"/>
                <w:szCs w:val="22"/>
                <w:lang w:val="en-US" w:eastAsia="zh-CN" w:bidi="ar-SA"/>
              </w:rPr>
              <w:t xml:space="preserve"> </w:t>
            </w:r>
          </w:p>
          <w:p w14:paraId="53F06EE2">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微软雅黑"/>
                <w:color w:val="000000"/>
                <w:kern w:val="0"/>
                <w:sz w:val="22"/>
                <w:szCs w:val="22"/>
                <w:lang w:bidi="ar"/>
              </w:rPr>
              <w:t>基本功能：三级目录结构、智能搜索、快速跳转、中英互译、精品教辅、特色书城、个性书架、智能升级、版权保护。</w:t>
            </w:r>
          </w:p>
          <w:p w14:paraId="724A17AB">
            <w:pPr>
              <w:pStyle w:val="11"/>
              <w:numPr>
                <w:ilvl w:val="2"/>
                <w:numId w:val="1"/>
              </w:numPr>
              <w:ind w:left="709" w:leftChars="0" w:hanging="709" w:firstLineChars="0"/>
              <w:rPr>
                <w:rFonts w:ascii="Calibri" w:hAnsi="Calibri" w:cs="Calibri"/>
                <w:sz w:val="22"/>
                <w:szCs w:val="20"/>
              </w:rPr>
            </w:pPr>
            <w:r>
              <w:rPr>
                <w:rFonts w:hint="eastAsia" w:ascii="微软雅黑" w:hAnsi="微软雅黑" w:eastAsia="微软雅黑" w:cs="微软雅黑"/>
                <w:color w:val="000000"/>
                <w:kern w:val="0"/>
                <w:sz w:val="22"/>
                <w:szCs w:val="22"/>
                <w:lang w:val="en-US" w:eastAsia="zh-CN" w:bidi="ar"/>
              </w:rPr>
              <w:t xml:space="preserve"> </w:t>
            </w:r>
            <w:r>
              <w:rPr>
                <w:rFonts w:hint="eastAsia" w:ascii="微软雅黑" w:hAnsi="微软雅黑" w:eastAsia="微软雅黑" w:cs="微软雅黑"/>
                <w:color w:val="000000"/>
                <w:kern w:val="0"/>
                <w:sz w:val="22"/>
                <w:szCs w:val="22"/>
                <w:lang w:eastAsia="zh-CN" w:bidi="ar"/>
              </w:rPr>
              <w:t>★</w:t>
            </w:r>
            <w:r>
              <w:rPr>
                <w:rFonts w:hint="eastAsia" w:ascii="微软雅黑" w:hAnsi="微软雅黑" w:eastAsia="微软雅黑" w:cs="微软雅黑"/>
                <w:color w:val="000000"/>
                <w:kern w:val="0"/>
                <w:sz w:val="22"/>
                <w:szCs w:val="22"/>
                <w:lang w:val="en-US" w:eastAsia="zh-CN" w:bidi="ar"/>
              </w:rPr>
              <w:t>学生端可以查看</w:t>
            </w:r>
            <w:r>
              <w:rPr>
                <w:rFonts w:hint="eastAsia" w:ascii="微软雅黑" w:hAnsi="微软雅黑" w:eastAsia="微软雅黑" w:cs="微软雅黑"/>
                <w:color w:val="000000"/>
                <w:kern w:val="0"/>
                <w:sz w:val="22"/>
                <w:szCs w:val="22"/>
                <w:lang w:bidi="ar"/>
              </w:rPr>
              <w:t>至少包含疾病数据库、药品数据库、手术学数据库、辅助检查库、循证证据库、疾病进展库、手术图谱库、医保药品库、临床操作规范库中任意6个数据库。总文字量不少于5000万字，高清图谱不少于1万幅。数据库内每种药品均应包含药品名称，英文名称，别名，类别，剂型，药物原理，药物效果，适应症，禁忌症，注意事项，不良反应，用法用量，药物相关作用，专家评论等数据索引，可快速切换，精确查找。</w:t>
            </w:r>
          </w:p>
          <w:p w14:paraId="63ECD976">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微软雅黑"/>
                <w:color w:val="000000"/>
                <w:kern w:val="0"/>
                <w:sz w:val="22"/>
                <w:szCs w:val="22"/>
                <w:lang w:bidi="ar"/>
              </w:rPr>
              <w:t>每个疾病均有疾病名称，英文名称，类别，ICD号，概述，流行病学，病因，发病机制，临床表现，并发症，实验室检查，其他辅助检查，诊断，鉴别诊断，治疗，预后，预防等数据索引，支持精确查找，快速定位。</w:t>
            </w:r>
          </w:p>
          <w:p w14:paraId="28A6B606">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试题库管理</w:t>
            </w:r>
          </w:p>
          <w:p w14:paraId="391DB3A0">
            <w:pPr>
              <w:pStyle w:val="11"/>
              <w:numPr>
                <w:ilvl w:val="0"/>
                <w:numId w:val="0"/>
              </w:numPr>
              <w:ind w:left="239" w:leftChars="114" w:firstLine="0" w:firstLineChars="0"/>
              <w:rPr>
                <w:rFonts w:hint="eastAsia" w:ascii="微软雅黑" w:hAnsi="微软雅黑" w:eastAsia="微软雅黑" w:cs="微软雅黑"/>
                <w:color w:val="auto"/>
                <w:kern w:val="2"/>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w:t>
            </w:r>
            <w:r>
              <w:rPr>
                <w:rFonts w:hint="eastAsia" w:ascii="微软雅黑" w:hAnsi="微软雅黑" w:eastAsia="微软雅黑" w:cs="微软雅黑"/>
                <w:color w:val="auto"/>
                <w:kern w:val="2"/>
                <w:sz w:val="22"/>
                <w:szCs w:val="22"/>
                <w:lang w:val="en-US" w:eastAsia="zh-CN" w:bidi="ar-SA"/>
              </w:rPr>
              <w:t>题库包括执业医师、住培考核。总量不低于160万道，其中住培考核题库不低于137万道（西医住培98.9万，中医住培31.1万），，执业医师不低于35万。</w:t>
            </w:r>
          </w:p>
          <w:p w14:paraId="35BF3219">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设置难易度分级,根据难度系数进行判定</w:t>
            </w:r>
          </w:p>
          <w:p w14:paraId="65F425A2">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题型:支持A1(单项最佳选择题),A2(病例摘要型最佳选择题),A3/A4(病例组型最佳选择题),B型题(标注配伍题),X型题(多项选择题),C型题(综合分析选择题),案例分析题,填空题,判断题,简答题,名词解释题,不定项选择题,临床思维题.</w:t>
            </w:r>
          </w:p>
          <w:p w14:paraId="75C610F8">
            <w:pPr>
              <w:pStyle w:val="11"/>
              <w:numPr>
                <w:ilvl w:val="2"/>
                <w:numId w:val="1"/>
              </w:numPr>
              <w:ind w:left="709" w:leftChars="0" w:hanging="709"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w:t>
            </w:r>
            <w:r>
              <w:rPr>
                <w:rFonts w:hint="eastAsia" w:ascii="微软雅黑" w:hAnsi="微软雅黑" w:eastAsia="微软雅黑" w:cstheme="minorBidi"/>
                <w:snapToGrid w:val="0"/>
                <w:color w:val="000000"/>
                <w:kern w:val="0"/>
                <w:sz w:val="22"/>
                <w:szCs w:val="22"/>
                <w:lang w:val="en-US" w:eastAsia="zh-Hans" w:bidi="ar-SA"/>
              </w:rPr>
              <w:t>自建题库支持自定义分类、自定义标签;自建试题可以文件导入、单个录入、批量录入.</w:t>
            </w:r>
          </w:p>
          <w:p w14:paraId="0260BF74">
            <w:pPr>
              <w:pStyle w:val="11"/>
              <w:numPr>
                <w:ilvl w:val="0"/>
                <w:numId w:val="1"/>
              </w:numPr>
              <w:ind w:left="425" w:leftChars="0" w:hanging="425"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Hans" w:bidi="ar-SA"/>
              </w:rPr>
              <w:t>技术要求</w:t>
            </w:r>
          </w:p>
          <w:p w14:paraId="3953A864">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w:t>
            </w:r>
            <w:r>
              <w:rPr>
                <w:rFonts w:hint="eastAsia" w:ascii="微软雅黑" w:hAnsi="微软雅黑" w:eastAsia="微软雅黑" w:cstheme="minorBidi"/>
                <w:snapToGrid w:val="0"/>
                <w:color w:val="000000"/>
                <w:kern w:val="0"/>
                <w:sz w:val="22"/>
                <w:szCs w:val="22"/>
                <w:lang w:val="en-US" w:eastAsia="zh-Hans" w:bidi="ar-SA"/>
              </w:rPr>
              <w:t>基于B/S框架结构,支持考试峰值并发处理能力1000个并发数以上, 响应时间不超过5秒，支持5万人的同时在线考试.需提供压力测试报告.</w:t>
            </w:r>
          </w:p>
          <w:p w14:paraId="024594B0">
            <w:pPr>
              <w:pStyle w:val="11"/>
              <w:numPr>
                <w:ilvl w:val="1"/>
                <w:numId w:val="1"/>
              </w:numPr>
              <w:ind w:left="567" w:leftChars="0" w:hanging="567" w:firstLineChars="0"/>
              <w:rPr>
                <w:rFonts w:hint="eastAsia" w:ascii="微软雅黑" w:hAnsi="微软雅黑" w:eastAsia="微软雅黑" w:cstheme="minorBidi"/>
                <w:snapToGrid w:val="0"/>
                <w:color w:val="000000"/>
                <w:kern w:val="0"/>
                <w:sz w:val="22"/>
                <w:szCs w:val="22"/>
                <w:lang w:val="en-US" w:eastAsia="zh-CN" w:bidi="ar-SA"/>
              </w:rPr>
            </w:pPr>
            <w:r>
              <w:rPr>
                <w:rFonts w:hint="eastAsia" w:ascii="微软雅黑" w:hAnsi="微软雅黑" w:eastAsia="微软雅黑" w:cstheme="minorBidi"/>
                <w:snapToGrid w:val="0"/>
                <w:color w:val="000000"/>
                <w:kern w:val="0"/>
                <w:sz w:val="22"/>
                <w:szCs w:val="22"/>
                <w:lang w:val="en-US" w:eastAsia="zh-CN" w:bidi="ar-SA"/>
              </w:rPr>
              <w:t>★拓展学习：支持移动端试题知识点、考点拓展学习功能，可以通过数字教材，数据库检索，视频学习等方式，补齐短板，加深理解。</w:t>
            </w:r>
          </w:p>
          <w:p w14:paraId="63487286">
            <w:pPr>
              <w:pStyle w:val="10"/>
              <w:framePr w:wrap="auto" w:vAnchor="margin" w:hAnchor="text" w:yAlign="inline"/>
              <w:numPr>
                <w:ilvl w:val="0"/>
                <w:numId w:val="0"/>
              </w:numPr>
              <w:ind w:leftChars="0"/>
              <w:rPr>
                <w:rFonts w:ascii="宋体" w:hAnsi="宋体" w:eastAsia="宋体"/>
                <w:color w:val="auto"/>
              </w:rPr>
            </w:pPr>
          </w:p>
        </w:tc>
      </w:tr>
    </w:tbl>
    <w:p w14:paraId="7983FB63">
      <w:pPr>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注：</w:t>
      </w:r>
    </w:p>
    <w:p w14:paraId="6902B9C1">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1、签订合同后，七日内到货并完成安装。</w:t>
      </w:r>
    </w:p>
    <w:p w14:paraId="5370DCC2">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2、除文件中所明确的技术规格外，欢迎其他能满足本项目技术需求且性能相当于或高于的产品参加。同时在技术偏离表中作出详细对比说明。</w:t>
      </w:r>
    </w:p>
    <w:p w14:paraId="1C9F8456">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3、如技术要求中未特别注明需执行的国家相关标准、行业标准、地方标准或者其他标准、规范，则统一执行最新标准、规范。</w:t>
      </w:r>
    </w:p>
    <w:p w14:paraId="4E0E1F60">
      <w:pPr>
        <w:spacing w:line="480" w:lineRule="auto"/>
        <w:ind w:firstLine="482" w:firstLineChars="200"/>
        <w:rPr>
          <w:b/>
          <w:bCs/>
          <w:sz w:val="24"/>
          <w:highlight w:val="none"/>
        </w:rPr>
      </w:pPr>
      <w:r>
        <w:rPr>
          <w:rFonts w:hint="eastAsia"/>
          <w:b/>
          <w:bCs/>
          <w:sz w:val="24"/>
          <w:highlight w:val="none"/>
        </w:rPr>
        <w:t>六、供应商资格条件：</w:t>
      </w:r>
    </w:p>
    <w:p w14:paraId="0D5AD24C">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1.满足《中华人民共和国政府采购法》第二十二条规定；</w:t>
      </w:r>
    </w:p>
    <w:p w14:paraId="278DE42D">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2.未被信用中国网站（www.creditchina.gov.cn）列入失信被执行人、重大税收违法案件当事人名单；未被中国政府采购网（www.ccgp.gov.cn）列入政府采购严重违法失信行为记录名单。</w:t>
      </w:r>
    </w:p>
    <w:p w14:paraId="43D68E41">
      <w:pPr>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、本项目不接受联合体投标。</w:t>
      </w:r>
    </w:p>
    <w:p w14:paraId="06CD0019">
      <w:pPr>
        <w:pStyle w:val="2"/>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4、投标人提供近三年投标人自身同类或类似项目业绩（投标人需提供证明材料复印件并加盖公章)</w:t>
      </w:r>
    </w:p>
    <w:p w14:paraId="0C49C4A0">
      <w:pPr>
        <w:pStyle w:val="2"/>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5、投标人同时具有医学考试系统、电子教材系统、数据库系统、智能运营管理系统的独立软件著作权（投标人需提供著作权复印件并加盖公章）</w:t>
      </w:r>
    </w:p>
    <w:p w14:paraId="5405B650">
      <w:pPr>
        <w:pStyle w:val="2"/>
        <w:ind w:firstLine="560" w:firstLineChars="200"/>
        <w:rPr>
          <w:rFonts w:hint="default" w:eastAsia="仿宋_GB2312"/>
          <w:lang w:val="en-US" w:eastAsia="zh-CN"/>
        </w:rPr>
      </w:pPr>
      <w:r>
        <w:rPr>
          <w:rFonts w:hint="eastAsia" w:ascii="仿宋_GB2312" w:hAnsi="仿宋_GB2312" w:eastAsia="仿宋_GB2312" w:cs="仿宋_GB2312"/>
          <w:sz w:val="28"/>
          <w:szCs w:val="28"/>
          <w:lang w:val="en-US" w:eastAsia="zh-CN"/>
        </w:rPr>
        <w:t>6、项目团队：项目负责人同时具备信息系统管理（高级）、软件开发（高级）证书及10年以上本单位软件开发项目管理经验，投标人需提供项目负责人相关资质证书原件，身份证复印件和10年内本单位每一年的社保缴费证明（每一年社保缴费证明提供该年内任意一月社保缴费证明即可）。以上所有材料加盖单位公章。</w:t>
      </w:r>
    </w:p>
    <w:p w14:paraId="5A2F7562">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七、质量及服务要求：</w:t>
      </w:r>
    </w:p>
    <w:p w14:paraId="5547C71A">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1.服务方提供周一至周日7×24小时的电话支持和现场响应服务，针对所升级设备发生的宕机等重大故障，服务方要在接到甲方报修电话后30分钟内响应，并在1小时内到达现场。</w:t>
      </w:r>
    </w:p>
    <w:p w14:paraId="19E274AC">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2.安全服务要求：</w:t>
      </w:r>
    </w:p>
    <w:p w14:paraId="17F85956">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服务方必须按照大庆市人民医院要求提供相应的维护方案，提交服务方案经甲方审阅通过后才能执行。在整个服务过程中，服务方要服从甲方的管理，严格遵守保密规定，不得向无关人员透露买方设备、数据信息。</w:t>
      </w:r>
    </w:p>
    <w:p w14:paraId="76766157">
      <w:pPr>
        <w:spacing w:line="600" w:lineRule="exact"/>
        <w:ind w:firstLine="660"/>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八、验收标准：</w:t>
      </w:r>
    </w:p>
    <w:p w14:paraId="20FD966D">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1.由买方或其指定单位组织人员进行系统、检测验收，卖方应派检查人员到现场参加检验工作。如发现功能缺陷、系统故障、的问题，买卖双方检验人员应作详细记录，并由买卖双方代表签字。</w:t>
      </w:r>
    </w:p>
    <w:p w14:paraId="2B3C562B">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.系统运行状态检查。</w:t>
      </w:r>
    </w:p>
    <w:p w14:paraId="23DBDBF7">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九、交付使用期及合同履行期：</w:t>
      </w:r>
    </w:p>
    <w:p w14:paraId="2DB4BCAA">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合同签订之日起7日内交付使用并完成验收。</w:t>
      </w:r>
    </w:p>
    <w:p w14:paraId="7A461437">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十、付款方式：</w:t>
      </w:r>
    </w:p>
    <w:p w14:paraId="67AF4BF6">
      <w:pPr>
        <w:spacing w:line="600" w:lineRule="exact"/>
        <w:ind w:firstLine="66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验收合格后支付项目合同款</w:t>
      </w:r>
      <w:r>
        <w:rPr>
          <w:rFonts w:hint="eastAsia" w:ascii="仿宋_GB2312" w:hAnsi="仿宋_GB2312" w:eastAsia="仿宋_GB2312" w:cs="仿宋_GB2312"/>
          <w:sz w:val="28"/>
          <w:szCs w:val="28"/>
          <w:lang w:val="en-US" w:eastAsia="zh-CN"/>
        </w:rPr>
        <w:t>100%。</w:t>
      </w:r>
    </w:p>
    <w:p w14:paraId="6308D552">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十一、投标文件格式：</w:t>
      </w:r>
    </w:p>
    <w:p w14:paraId="5F6EC39F">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有意投标者请将投标资料密封在信封或档案袋内（投标书封面，要求写明文件名称、投标单位名称（盖章）、地址、投标单位法定代表人（签字或盖章），投标单位联系人，联系电话），提供原件的需单独密封。</w:t>
      </w:r>
    </w:p>
    <w:p w14:paraId="3304A55B">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2.标书要求：一本正本、三本副本均加盖公章，装订方式为胶装。</w:t>
      </w:r>
    </w:p>
    <w:p w14:paraId="0DD20C62">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3.标书封面须有以下内容（1）投标公司全称及正本或副本标识</w:t>
      </w:r>
    </w:p>
    <w:p w14:paraId="477E4363">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（2）投标公司联系人及联系方式    </w:t>
      </w:r>
    </w:p>
    <w:p w14:paraId="104EC931">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4.投标文件包含项目：     </w:t>
      </w:r>
    </w:p>
    <w:p w14:paraId="5D673C06">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（1）提供有效的营业执照副本（加盖公章）</w:t>
      </w:r>
    </w:p>
    <w:p w14:paraId="2DA71D65">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（2）法定代表人身份证（法定代表人参会时提供）。如参会代表不是法定代表人的，须附有授权委托书，法定代表人身份证及授权代表身份证。授权代表需提供社保证明。（加盖公章）</w:t>
      </w:r>
    </w:p>
    <w:p w14:paraId="39927D34">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（3）报价明细单（加盖公章）</w:t>
      </w:r>
    </w:p>
    <w:p w14:paraId="05D945AF">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（4）供应商提供投标截止日前6个月内任意1个月依法缴纳税收和社会保障资金的相关材料。或不需要缴纳社会保障资金的，提供相应证明材料（加盖公章）</w:t>
      </w:r>
    </w:p>
    <w:p w14:paraId="07624564">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（5）诚信竞争承诺书。（加盖公章，格式自定）</w:t>
      </w:r>
    </w:p>
    <w:p w14:paraId="11B80E47">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（6）提供本单位的参加政府采购活动前3年内在经营活动中没有重大违法记录的书面声明（加盖公章，格式自定）。</w:t>
      </w:r>
    </w:p>
    <w:p w14:paraId="4C43EA14">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（7）响应资料无弄虚作假声明。如发现资料为虚假资料，将取消响应资格，且供应商自行承担法律责任（加盖公章，格式自定）。</w:t>
      </w:r>
    </w:p>
    <w:p w14:paraId="483DD8E3">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未被信用中国网站（www.creditchina.gov.cn）列入失信被执行人、重大税收违法案件当事人名单；未被中国政府采购网（www.ccgp.gov.cn）列入政府采购严重违法失信行为记录名单。提供网站查询截图。（加盖公章，格式自定）</w:t>
      </w:r>
    </w:p>
    <w:p w14:paraId="717D0172">
      <w:pPr>
        <w:spacing w:line="600" w:lineRule="exact"/>
        <w:ind w:firstLine="6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（9）技术文档中明确所投标的的产品品牌、规格型号或服务内容或工程量； 投标文件应当对招标文件提出的要求和条件作出明确响应并满足招标文件全部实质性要求。（加盖公章，格式自定）</w:t>
      </w:r>
    </w:p>
    <w:p w14:paraId="203A2EB2">
      <w:pPr>
        <w:spacing w:line="600" w:lineRule="exact"/>
        <w:ind w:firstLine="66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(10)技术偏离表</w:t>
      </w:r>
      <w:r>
        <w:rPr>
          <w:rFonts w:hint="eastAsia" w:ascii="仿宋_GB2312" w:hAnsi="仿宋_GB2312" w:eastAsia="仿宋_GB2312" w:cs="仿宋_GB2312"/>
          <w:sz w:val="28"/>
          <w:szCs w:val="28"/>
        </w:rPr>
        <w:t>（加盖公章，格式自定）</w:t>
      </w:r>
      <w:r>
        <w:rPr>
          <w:rFonts w:hint="eastAsia" w:ascii="仿宋_GB2312" w:hAnsi="仿宋_GB2312" w:eastAsia="仿宋_GB2312" w:cs="仿宋_GB2312"/>
          <w:sz w:val="28"/>
          <w:szCs w:val="28"/>
          <w:lang w:eastAsia="zh-CN"/>
        </w:rPr>
        <w:t>。</w:t>
      </w:r>
    </w:p>
    <w:p w14:paraId="4666C02F">
      <w:pPr>
        <w:spacing w:line="60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（11）服务方案</w:t>
      </w:r>
      <w:r>
        <w:rPr>
          <w:rFonts w:hint="eastAsia" w:ascii="仿宋_GB2312" w:hAnsi="仿宋_GB2312" w:eastAsia="仿宋_GB2312" w:cs="仿宋_GB2312"/>
          <w:sz w:val="28"/>
          <w:szCs w:val="28"/>
        </w:rPr>
        <w:t>（加盖公章，格式自定）</w:t>
      </w:r>
      <w:r>
        <w:rPr>
          <w:rFonts w:hint="eastAsia" w:ascii="仿宋_GB2312" w:hAnsi="仿宋_GB2312" w:eastAsia="仿宋_GB2312" w:cs="仿宋_GB2312"/>
          <w:sz w:val="28"/>
          <w:szCs w:val="28"/>
          <w:lang w:eastAsia="zh-CN"/>
        </w:rPr>
        <w:t>。</w:t>
      </w:r>
    </w:p>
    <w:p w14:paraId="0D2F901E">
      <w:pPr>
        <w:spacing w:line="60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其他资质及技术要求资料</w:t>
      </w:r>
      <w:r>
        <w:rPr>
          <w:rFonts w:hint="eastAsia" w:ascii="仿宋_GB2312" w:hAnsi="仿宋_GB2312" w:eastAsia="仿宋_GB2312" w:cs="仿宋_GB2312"/>
          <w:sz w:val="28"/>
          <w:szCs w:val="28"/>
        </w:rPr>
        <w:t>（加盖公章，格式自定）</w:t>
      </w:r>
      <w:r>
        <w:rPr>
          <w:rFonts w:hint="eastAsia" w:ascii="仿宋_GB2312" w:hAnsi="仿宋_GB2312" w:eastAsia="仿宋_GB2312" w:cs="仿宋_GB2312"/>
          <w:sz w:val="28"/>
          <w:szCs w:val="28"/>
          <w:lang w:eastAsia="zh-CN"/>
        </w:rPr>
        <w:t>。</w:t>
      </w:r>
    </w:p>
    <w:p w14:paraId="3247F848">
      <w:pPr>
        <w:spacing w:line="60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（13）供应商承诺函及缴纳社保证明要求，后附模板详见附件1</w:t>
      </w:r>
      <w:r>
        <w:rPr>
          <w:rFonts w:hint="eastAsia" w:ascii="仿宋_GB2312" w:hAnsi="仿宋_GB2312" w:eastAsia="仿宋_GB2312" w:cs="仿宋_GB2312"/>
          <w:sz w:val="28"/>
          <w:szCs w:val="28"/>
        </w:rPr>
        <w:t>（加盖公章，格式自定）</w:t>
      </w:r>
      <w:r>
        <w:rPr>
          <w:rFonts w:hint="eastAsia" w:ascii="仿宋_GB2312" w:hAnsi="仿宋_GB2312" w:eastAsia="仿宋_GB2312" w:cs="仿宋_GB2312"/>
          <w:sz w:val="28"/>
          <w:szCs w:val="28"/>
          <w:lang w:eastAsia="zh-CN"/>
        </w:rPr>
        <w:t>。</w:t>
      </w:r>
    </w:p>
    <w:p w14:paraId="48CF438F">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十二、报名须知：   </w:t>
      </w:r>
    </w:p>
    <w:p w14:paraId="32FEF3F7">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1.本项目采购公告发出后，如有变更（如：变更通知、有关问题答复、质疑答复等相关文件），将在“大庆市人民医院网站”告知，转载无效，所有参与本项目投标的供应商，供应商应主动查看。 </w:t>
      </w:r>
    </w:p>
    <w:p w14:paraId="0A3B6B9C">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2.本项目不设资格预审，供应商应详细阅读本公告，符合条件即可参与。参标供应商按照要求将所有资质证明资料提供到开标会现场，由评委小组审查，经评审不符合条件者投标无效。 </w:t>
      </w:r>
    </w:p>
    <w:p w14:paraId="08D9E562">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3.如有质疑，请以书面形式提出并附营业执照复印件及法人身份证复印件，其它形式采购方均不受理。</w:t>
      </w:r>
    </w:p>
    <w:p w14:paraId="3A932AB9">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4.招标谈判价格及中标价格都为税后价格。</w:t>
      </w:r>
    </w:p>
    <w:p w14:paraId="31BFBE51">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5、报名时间：公告之日起至</w:t>
      </w:r>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时。超过报名期限，报名无效。</w:t>
      </w:r>
    </w:p>
    <w:p w14:paraId="5E2308F0">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报名方式：邮箱报名：rmyyxxzx@126.com，需要填写附件报名表（本公告最后一页），填写完整并加盖公章后上传PDF版至此邮箱。</w:t>
      </w:r>
    </w:p>
    <w:p w14:paraId="7F99C0E0">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咨询电话：   6612857</w:t>
      </w:r>
    </w:p>
    <w:p w14:paraId="4CE1B459">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地 址：大庆市人民医院（如遇特殊情况另行通知）</w:t>
      </w:r>
    </w:p>
    <w:p w14:paraId="67CF1BAA">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时 间：</w:t>
      </w:r>
      <w:r>
        <w:rPr>
          <w:rFonts w:hint="eastAsia" w:ascii="仿宋_GB2312" w:hAnsi="仿宋_GB2312" w:eastAsia="仿宋_GB2312" w:cs="仿宋_GB2312"/>
          <w:sz w:val="28"/>
          <w:szCs w:val="28"/>
          <w:lang w:val="en-US" w:eastAsia="zh-CN"/>
        </w:rPr>
        <w:t>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 xml:space="preserve">日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如有变化另行通知</w:t>
      </w:r>
      <w:r>
        <w:rPr>
          <w:rFonts w:ascii="仿宋_GB2312" w:hAnsi="仿宋_GB2312" w:eastAsia="仿宋_GB2312" w:cs="仿宋_GB2312"/>
          <w:sz w:val="28"/>
          <w:szCs w:val="28"/>
        </w:rPr>
        <w:t>)</w:t>
      </w:r>
    </w:p>
    <w:p w14:paraId="2097573D">
      <w:pPr>
        <w:numPr>
          <w:ilvl w:val="0"/>
          <w:numId w:val="2"/>
        </w:num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投标代表（法人或法人授权人）请在开标时间前20分钟携带身份证到达会场签到（签到时查验身份证件）未按开标时间参加开标会议的将视为自动弃权。具体事项工作人员将通过报名表中移动电话进行告知。</w:t>
      </w:r>
    </w:p>
    <w:p w14:paraId="257757E9">
      <w:pPr>
        <w:pStyle w:val="2"/>
      </w:pPr>
    </w:p>
    <w:p w14:paraId="49387F0C">
      <w:pPr>
        <w:pStyle w:val="2"/>
      </w:pPr>
    </w:p>
    <w:p w14:paraId="38952DB6">
      <w:pPr>
        <w:pStyle w:val="2"/>
      </w:pPr>
    </w:p>
    <w:p w14:paraId="7192BD40">
      <w:pPr>
        <w:pStyle w:val="2"/>
      </w:pPr>
    </w:p>
    <w:p w14:paraId="62F5CDC6">
      <w:pPr>
        <w:pStyle w:val="2"/>
      </w:pPr>
    </w:p>
    <w:p w14:paraId="7FA53A76">
      <w:pPr>
        <w:pStyle w:val="2"/>
      </w:pPr>
    </w:p>
    <w:p w14:paraId="42B8DA1E">
      <w:pPr>
        <w:pStyle w:val="2"/>
      </w:pPr>
      <w:bookmarkStart w:id="0" w:name="_GoBack"/>
      <w:bookmarkEnd w:id="0"/>
    </w:p>
    <w:p w14:paraId="035D3523">
      <w:pPr>
        <w:pStyle w:val="2"/>
      </w:pPr>
    </w:p>
    <w:p w14:paraId="5F9311B0">
      <w:pPr>
        <w:pStyle w:val="2"/>
      </w:pPr>
    </w:p>
    <w:p w14:paraId="37B03B43">
      <w:pPr>
        <w:pStyle w:val="2"/>
      </w:pPr>
    </w:p>
    <w:p w14:paraId="5027189F">
      <w:pPr>
        <w:pStyle w:val="2"/>
      </w:pPr>
    </w:p>
    <w:p w14:paraId="6AFF0F7A">
      <w:pPr>
        <w:pStyle w:val="2"/>
      </w:pPr>
    </w:p>
    <w:p w14:paraId="70DC1AAA">
      <w:pPr>
        <w:rPr>
          <w:rFonts w:ascii="宋体" w:hAnsi="宋体" w:cs="宋体"/>
          <w:sz w:val="36"/>
          <w:szCs w:val="36"/>
        </w:rPr>
      </w:pPr>
      <w:r>
        <w:rPr>
          <w:rFonts w:hint="eastAsia" w:ascii="宋体" w:hAnsi="宋体" w:cs="宋体"/>
          <w:sz w:val="36"/>
          <w:szCs w:val="36"/>
        </w:rPr>
        <w:t>附件</w:t>
      </w:r>
      <w:r>
        <w:rPr>
          <w:rFonts w:hint="eastAsia" w:ascii="宋体" w:hAnsi="宋体" w:cs="宋体"/>
          <w:sz w:val="36"/>
          <w:szCs w:val="36"/>
          <w:lang w:val="en-US" w:eastAsia="zh-CN"/>
        </w:rPr>
        <w:t>2</w:t>
      </w:r>
      <w:r>
        <w:rPr>
          <w:rFonts w:hint="eastAsia" w:ascii="宋体" w:hAnsi="宋体" w:cs="宋体"/>
          <w:sz w:val="36"/>
          <w:szCs w:val="36"/>
        </w:rPr>
        <w:t xml:space="preserve">    </w:t>
      </w:r>
    </w:p>
    <w:p w14:paraId="039152D5">
      <w:pPr>
        <w:ind w:firstLine="2880" w:firstLineChars="800"/>
        <w:rPr>
          <w:rFonts w:ascii="宋体" w:hAnsi="宋体" w:cs="宋体"/>
          <w:sz w:val="36"/>
          <w:szCs w:val="36"/>
        </w:rPr>
      </w:pPr>
      <w:r>
        <w:rPr>
          <w:rFonts w:hint="eastAsia" w:ascii="宋体" w:hAnsi="宋体" w:cs="宋体"/>
          <w:sz w:val="36"/>
          <w:szCs w:val="36"/>
        </w:rPr>
        <w:t>xx项目投标报名表</w:t>
      </w:r>
    </w:p>
    <w:p w14:paraId="49A6F06F">
      <w:pPr>
        <w:pBdr>
          <w:top w:val="single" w:color="auto" w:sz="4" w:space="1"/>
          <w:left w:val="single" w:color="auto" w:sz="4" w:space="4"/>
          <w:bottom w:val="single" w:color="auto" w:sz="4" w:space="1"/>
          <w:right w:val="single" w:color="auto" w:sz="4" w:space="4"/>
          <w:between w:val="single" w:color="000000" w:sz="4" w:space="0"/>
        </w:pBdr>
        <w:rPr>
          <w:rFonts w:ascii="宋体" w:hAnsi="宋体" w:cs="宋体"/>
          <w:sz w:val="36"/>
          <w:szCs w:val="36"/>
        </w:rPr>
      </w:pPr>
      <w:r>
        <w:rPr>
          <w:rFonts w:hint="eastAsia" w:ascii="宋体" w:hAnsi="宋体" w:cs="宋体"/>
          <w:sz w:val="36"/>
          <w:szCs w:val="36"/>
        </w:rPr>
        <w:t>项目名称：</w:t>
      </w:r>
    </w:p>
    <w:p w14:paraId="612B868E">
      <w:pPr>
        <w:pBdr>
          <w:top w:val="single" w:color="auto" w:sz="4" w:space="1"/>
          <w:left w:val="single" w:color="auto" w:sz="4" w:space="4"/>
          <w:bottom w:val="single" w:color="auto" w:sz="4" w:space="1"/>
          <w:right w:val="single" w:color="auto" w:sz="4" w:space="4"/>
          <w:between w:val="none" w:color="000000" w:sz="0" w:space="0"/>
        </w:pBdr>
        <w:rPr>
          <w:rFonts w:ascii="宋体" w:hAnsi="宋体" w:cs="宋体"/>
          <w:sz w:val="36"/>
          <w:szCs w:val="36"/>
        </w:rPr>
      </w:pPr>
      <w:r>
        <w:rPr>
          <w:rFonts w:hint="eastAsia" w:ascii="宋体" w:hAnsi="宋体" w:cs="宋体"/>
          <w:sz w:val="36"/>
          <w:szCs w:val="36"/>
        </w:rPr>
        <w:t>项目编号：</w:t>
      </w:r>
    </w:p>
    <w:p w14:paraId="5836A9D0">
      <w:pPr>
        <w:pBdr>
          <w:top w:val="single" w:color="000000" w:sz="4" w:space="1"/>
          <w:left w:val="single" w:color="000000" w:sz="4" w:space="4"/>
          <w:bottom w:val="single" w:color="000000" w:sz="4" w:space="1"/>
          <w:right w:val="single" w:color="000000" w:sz="4" w:space="4"/>
          <w:between w:val="none" w:color="000000" w:sz="0" w:space="0"/>
        </w:pBdr>
        <w:rPr>
          <w:rFonts w:ascii="宋体" w:hAnsi="宋体" w:cs="宋体"/>
          <w:sz w:val="32"/>
          <w:szCs w:val="32"/>
        </w:rPr>
      </w:pPr>
      <w:r>
        <w:rPr>
          <w:rFonts w:hint="eastAsia" w:ascii="宋体" w:hAnsi="宋体" w:cs="宋体"/>
          <w:sz w:val="32"/>
          <w:szCs w:val="32"/>
        </w:rPr>
        <w:t xml:space="preserve">联系人：                  移动电话：                 </w:t>
      </w:r>
    </w:p>
    <w:p w14:paraId="6E7764E1">
      <w:pPr>
        <w:pBdr>
          <w:top w:val="single" w:color="auto" w:sz="4" w:space="1"/>
          <w:left w:val="single" w:color="auto" w:sz="4" w:space="4"/>
          <w:bottom w:val="none" w:color="auto" w:sz="0" w:space="1"/>
          <w:right w:val="single" w:color="auto" w:sz="4" w:space="4"/>
        </w:pBdr>
        <w:rPr>
          <w:rFonts w:ascii="宋体" w:hAnsi="宋体" w:cs="宋体"/>
          <w:sz w:val="36"/>
          <w:szCs w:val="36"/>
        </w:rPr>
      </w:pPr>
      <w:r>
        <w:rPr>
          <w:rFonts w:hint="eastAsia" w:ascii="宋体" w:hAnsi="宋体" w:cs="宋体"/>
          <w:sz w:val="32"/>
          <w:szCs w:val="32"/>
        </w:rPr>
        <w:t>电子邮件：</w:t>
      </w:r>
    </w:p>
    <w:p w14:paraId="0F7B1EBB">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 xml:space="preserve">我公司已阅读该项目招标文件及公告，并按照要求提供资料报名参加投标。                                             </w:t>
      </w:r>
    </w:p>
    <w:p w14:paraId="7DF035F4">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14:paraId="1B5FABD2">
      <w:pPr>
        <w:pBdr>
          <w:top w:val="single" w:color="auto" w:sz="4" w:space="1"/>
          <w:left w:val="single" w:color="auto" w:sz="4" w:space="4"/>
          <w:bottom w:val="single" w:color="auto" w:sz="4" w:space="1"/>
          <w:right w:val="single" w:color="auto" w:sz="4" w:space="4"/>
        </w:pBdr>
        <w:rPr>
          <w:rFonts w:ascii="宋体" w:hAnsi="宋体" w:cs="宋体"/>
          <w:sz w:val="36"/>
          <w:szCs w:val="36"/>
        </w:rPr>
      </w:pPr>
    </w:p>
    <w:p w14:paraId="39BC75E9">
      <w:pPr>
        <w:pBdr>
          <w:top w:val="single" w:color="auto" w:sz="4" w:space="1"/>
          <w:left w:val="single" w:color="auto" w:sz="4" w:space="4"/>
          <w:bottom w:val="single" w:color="auto" w:sz="4" w:space="1"/>
          <w:right w:val="single" w:color="auto" w:sz="4" w:space="4"/>
        </w:pBdr>
        <w:rPr>
          <w:rFonts w:ascii="宋体" w:hAnsi="宋体" w:cs="宋体"/>
          <w:sz w:val="36"/>
          <w:szCs w:val="36"/>
        </w:rPr>
      </w:pPr>
    </w:p>
    <w:p w14:paraId="04EEB8A8">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投标单位（公章）：</w:t>
      </w:r>
    </w:p>
    <w:p w14:paraId="2C3A4545">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报名代表签字：</w:t>
      </w:r>
    </w:p>
    <w:p w14:paraId="0FD03076">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报名日期：      年     月     日</w:t>
      </w:r>
    </w:p>
    <w:p w14:paraId="0971BB6C">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14:paraId="6662529D">
      <w:pPr>
        <w:pBdr>
          <w:top w:val="single" w:color="auto" w:sz="4" w:space="1"/>
          <w:left w:val="single" w:color="auto" w:sz="4" w:space="4"/>
          <w:bottom w:val="single" w:color="auto" w:sz="4" w:space="1"/>
          <w:right w:val="single" w:color="auto" w:sz="4" w:space="4"/>
        </w:pBdr>
        <w:rPr>
          <w:rFonts w:ascii="宋体" w:hAnsi="宋体" w:cs="宋体"/>
          <w:b/>
          <w:bCs/>
          <w:sz w:val="36"/>
          <w:szCs w:val="36"/>
        </w:rPr>
      </w:pPr>
      <w:r>
        <w:rPr>
          <w:rFonts w:hint="eastAsia" w:ascii="宋体" w:hAnsi="宋体" w:cs="宋体"/>
          <w:b/>
          <w:bCs/>
          <w:sz w:val="36"/>
          <w:szCs w:val="36"/>
        </w:rPr>
        <w:t>注：如放弃此项目，请在开标前电话告知。</w:t>
      </w:r>
    </w:p>
    <w:p w14:paraId="0968873F">
      <w:pPr>
        <w:spacing w:line="600" w:lineRule="exact"/>
        <w:jc w:val="left"/>
        <w:rPr>
          <w:rFonts w:ascii="仿宋_GB2312" w:hAnsi="仿宋_GB2312" w:eastAsia="仿宋_GB2312" w:cs="仿宋_GB2312"/>
          <w:sz w:val="28"/>
          <w:szCs w:val="28"/>
        </w:rPr>
      </w:pPr>
    </w:p>
    <w:p w14:paraId="2918715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EF393">
    <w:pPr>
      <w:pStyle w:val="3"/>
    </w:pPr>
  </w:p>
  <w:p w14:paraId="50AA0B8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B652F">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06B652F">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6A156"/>
    <w:multiLevelType w:val="singleLevel"/>
    <w:tmpl w:val="05D6A156"/>
    <w:lvl w:ilvl="0" w:tentative="0">
      <w:start w:val="6"/>
      <w:numFmt w:val="decimal"/>
      <w:suff w:val="nothing"/>
      <w:lvlText w:val="%1、"/>
      <w:lvlJc w:val="left"/>
    </w:lvl>
  </w:abstractNum>
  <w:abstractNum w:abstractNumId="1">
    <w:nsid w:val="634114EB"/>
    <w:multiLevelType w:val="multilevel"/>
    <w:tmpl w:val="634114E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274C36AC"/>
    <w:rsid w:val="000E0E27"/>
    <w:rsid w:val="0056001E"/>
    <w:rsid w:val="00590E07"/>
    <w:rsid w:val="005B2D51"/>
    <w:rsid w:val="00614600"/>
    <w:rsid w:val="007C063A"/>
    <w:rsid w:val="008574B4"/>
    <w:rsid w:val="00957DB9"/>
    <w:rsid w:val="00AE2698"/>
    <w:rsid w:val="00B45064"/>
    <w:rsid w:val="00D12778"/>
    <w:rsid w:val="00D6456A"/>
    <w:rsid w:val="00DD1236"/>
    <w:rsid w:val="01EE748A"/>
    <w:rsid w:val="03174096"/>
    <w:rsid w:val="050140F6"/>
    <w:rsid w:val="05410980"/>
    <w:rsid w:val="072D4A49"/>
    <w:rsid w:val="09182F28"/>
    <w:rsid w:val="0B022976"/>
    <w:rsid w:val="0E760A58"/>
    <w:rsid w:val="0EA25227"/>
    <w:rsid w:val="0FDF5034"/>
    <w:rsid w:val="11665AD8"/>
    <w:rsid w:val="11D37C8C"/>
    <w:rsid w:val="1333075B"/>
    <w:rsid w:val="1666025D"/>
    <w:rsid w:val="16775FC6"/>
    <w:rsid w:val="16CF4C05"/>
    <w:rsid w:val="1991739F"/>
    <w:rsid w:val="1D1D61ED"/>
    <w:rsid w:val="1DBF33D6"/>
    <w:rsid w:val="231B00C0"/>
    <w:rsid w:val="25511304"/>
    <w:rsid w:val="25CD79B1"/>
    <w:rsid w:val="274C36AC"/>
    <w:rsid w:val="28821F99"/>
    <w:rsid w:val="2A816FBC"/>
    <w:rsid w:val="2C365656"/>
    <w:rsid w:val="2C445632"/>
    <w:rsid w:val="2FAC6889"/>
    <w:rsid w:val="32F24260"/>
    <w:rsid w:val="3332035D"/>
    <w:rsid w:val="354457B6"/>
    <w:rsid w:val="35692C47"/>
    <w:rsid w:val="367040CD"/>
    <w:rsid w:val="369F6410"/>
    <w:rsid w:val="39AD1B7B"/>
    <w:rsid w:val="3B0E03F8"/>
    <w:rsid w:val="3B800BCA"/>
    <w:rsid w:val="3E001ACB"/>
    <w:rsid w:val="3F7E2D29"/>
    <w:rsid w:val="400E575F"/>
    <w:rsid w:val="44305883"/>
    <w:rsid w:val="48A95C04"/>
    <w:rsid w:val="4B9366F7"/>
    <w:rsid w:val="4DC0318A"/>
    <w:rsid w:val="4EA561F2"/>
    <w:rsid w:val="4EC240F1"/>
    <w:rsid w:val="4F037DBD"/>
    <w:rsid w:val="4F195FC5"/>
    <w:rsid w:val="4F776A6B"/>
    <w:rsid w:val="50695DFD"/>
    <w:rsid w:val="539A1A43"/>
    <w:rsid w:val="5452714F"/>
    <w:rsid w:val="54A57831"/>
    <w:rsid w:val="56B50A62"/>
    <w:rsid w:val="56DE65BB"/>
    <w:rsid w:val="57B123DF"/>
    <w:rsid w:val="57F44998"/>
    <w:rsid w:val="593372DF"/>
    <w:rsid w:val="5BFA49A5"/>
    <w:rsid w:val="5DC11AA1"/>
    <w:rsid w:val="5DD9376C"/>
    <w:rsid w:val="5E0F1C0D"/>
    <w:rsid w:val="60F83E00"/>
    <w:rsid w:val="615675DB"/>
    <w:rsid w:val="63116428"/>
    <w:rsid w:val="64E020F2"/>
    <w:rsid w:val="65BF660F"/>
    <w:rsid w:val="663A3EE7"/>
    <w:rsid w:val="670544F5"/>
    <w:rsid w:val="67BC4283"/>
    <w:rsid w:val="684E3579"/>
    <w:rsid w:val="68F159A6"/>
    <w:rsid w:val="69BB70ED"/>
    <w:rsid w:val="69F23320"/>
    <w:rsid w:val="6C77221A"/>
    <w:rsid w:val="6C7C7008"/>
    <w:rsid w:val="6D1159A2"/>
    <w:rsid w:val="6DC13574"/>
    <w:rsid w:val="6F190B3E"/>
    <w:rsid w:val="6FC22CFB"/>
    <w:rsid w:val="71867FE1"/>
    <w:rsid w:val="724F13CE"/>
    <w:rsid w:val="725F3A16"/>
    <w:rsid w:val="73F94DAE"/>
    <w:rsid w:val="747D6EEF"/>
    <w:rsid w:val="77BA4C37"/>
    <w:rsid w:val="7C6D781C"/>
    <w:rsid w:val="7E051EB1"/>
    <w:rsid w:val="7EC62364"/>
    <w:rsid w:val="7EE2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font21"/>
    <w:basedOn w:val="7"/>
    <w:qFormat/>
    <w:uiPriority w:val="0"/>
    <w:rPr>
      <w:rFonts w:hint="default" w:ascii="仿宋_GB2312" w:eastAsia="仿宋_GB2312" w:cs="仿宋_GB2312"/>
      <w:color w:val="000000"/>
      <w:sz w:val="28"/>
      <w:szCs w:val="28"/>
      <w:u w:val="none"/>
    </w:rPr>
  </w:style>
  <w:style w:type="paragraph" w:styleId="10">
    <w:name w:val="List Paragraph"/>
    <w:basedOn w:val="1"/>
    <w:qFormat/>
    <w:uiPriority w:val="34"/>
    <w:pPr>
      <w:framePr w:wrap="around" w:vAnchor="margin" w:hAnchor="text" w:y="1"/>
      <w:ind w:firstLine="420" w:firstLineChars="200"/>
    </w:pPr>
    <w:rPr>
      <w:rFonts w:ascii="Times New Roman" w:hAnsi="Times New Roman" w:eastAsia="Arial Unicode MS" w:cs="Arial Unicode MS"/>
      <w:color w:val="000000"/>
      <w:szCs w:val="21"/>
      <w:u w:color="000000"/>
    </w:rPr>
  </w:style>
  <w:style w:type="paragraph" w:customStyle="1" w:styleId="11">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4459</Words>
  <Characters>4687</Characters>
  <Lines>30</Lines>
  <Paragraphs>8</Paragraphs>
  <TotalTime>10</TotalTime>
  <ScaleCrop>false</ScaleCrop>
  <LinksUpToDate>false</LinksUpToDate>
  <CharactersWithSpaces>4900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2022-07-04T00:31:00Z</dcterms:created>
  <dc:creator>勇咣</dc:creator>
  <cp:lastModifiedBy>ztb</cp:lastModifiedBy>
  <cp:lastPrinted>2022-07-11T06:35:00Z</cp:lastPrinted>
  <dcterms:modified xsi:type="dcterms:W3CDTF">2024-10-14T06:49:51Z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AF36CB19C1934B1F84B32EC38E050AEA</vt:lpwstr>
  </property>
</Properties>
</file>