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92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附件3、体表标测心电图检测系统</w:t>
      </w:r>
      <w:bookmarkStart w:id="0" w:name="_GoBack"/>
      <w:bookmarkEnd w:id="0"/>
    </w:p>
    <w:tbl>
      <w:tblPr>
        <w:tblStyle w:val="6"/>
        <w:tblW w:w="9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4954"/>
        <w:gridCol w:w="2201"/>
      </w:tblGrid>
      <w:tr w14:paraId="22CF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513" w:type="dxa"/>
            <w:vAlign w:val="center"/>
          </w:tcPr>
          <w:p w14:paraId="2700FBD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产品用途及使用范围</w:t>
            </w:r>
          </w:p>
        </w:tc>
        <w:tc>
          <w:tcPr>
            <w:tcW w:w="7155" w:type="dxa"/>
            <w:gridSpan w:val="2"/>
            <w:vAlign w:val="center"/>
          </w:tcPr>
          <w:p w14:paraId="5436273E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适用于医疗机构对心电心音信号的采集、显示、分析及记录并保存，辅助临床诊断。</w:t>
            </w:r>
          </w:p>
        </w:tc>
      </w:tr>
      <w:tr w14:paraId="3CDD3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668" w:type="dxa"/>
            <w:gridSpan w:val="3"/>
            <w:vAlign w:val="center"/>
          </w:tcPr>
          <w:p w14:paraId="67063CC4">
            <w:pPr>
              <w:ind w:left="960" w:hanging="883" w:hangingChars="400"/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2"/>
                <w:lang w:val="en-US" w:eastAsia="zh-CN" w:bidi="ar-SA"/>
              </w:rPr>
              <w:t>技术参数要求</w:t>
            </w:r>
          </w:p>
        </w:tc>
      </w:tr>
      <w:tr w14:paraId="5677E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513" w:type="dxa"/>
            <w:vAlign w:val="center"/>
          </w:tcPr>
          <w:p w14:paraId="432FBBC9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主要配置或模块名称</w:t>
            </w:r>
          </w:p>
        </w:tc>
        <w:tc>
          <w:tcPr>
            <w:tcW w:w="7155" w:type="dxa"/>
            <w:gridSpan w:val="2"/>
            <w:vAlign w:val="center"/>
          </w:tcPr>
          <w:p w14:paraId="2DE1448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具体性能与参数要求</w:t>
            </w:r>
          </w:p>
        </w:tc>
      </w:tr>
      <w:tr w14:paraId="53658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2513" w:type="dxa"/>
            <w:vAlign w:val="center"/>
          </w:tcPr>
          <w:p w14:paraId="4882B82E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*可提供参数</w:t>
            </w:r>
          </w:p>
        </w:tc>
        <w:tc>
          <w:tcPr>
            <w:tcW w:w="7155" w:type="dxa"/>
            <w:gridSpan w:val="2"/>
            <w:vAlign w:val="center"/>
          </w:tcPr>
          <w:p w14:paraId="04D1630A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*EMAT:电—机械激动时间（QRS的起始时间到M1时间）；</w:t>
            </w:r>
          </w:p>
          <w:p w14:paraId="13F9E552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*EMAT%: EMAT 与 RR 的比值;</w:t>
            </w:r>
          </w:p>
          <w:p w14:paraId="44325F8B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*LVST: 左室收缩时间（M1到A2的时间）；</w:t>
            </w:r>
          </w:p>
          <w:p w14:paraId="0F927FB2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*LVST%: LVST与RR的比值; </w:t>
            </w:r>
          </w:p>
          <w:p w14:paraId="709EDA09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*EMAT/LVST：电-机械激动时间/左室收缩时间；</w:t>
            </w:r>
          </w:p>
          <w:p w14:paraId="49D5646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*M1-T1：二尖瓣关闭到三尖瓣关闭的时间；</w:t>
            </w:r>
          </w:p>
          <w:p w14:paraId="04CEFBB7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*A2-P2: 主动脉瓣关闭到肺动脉瓣关闭的时间；</w:t>
            </w:r>
          </w:p>
          <w:p w14:paraId="2CBBE248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Axes：心脏电轴位置；</w:t>
            </w:r>
          </w:p>
          <w:p w14:paraId="2E5FC692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PD：P波时限；</w:t>
            </w:r>
          </w:p>
          <w:p w14:paraId="1CAEBD34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PRD：PR间期；</w:t>
            </w:r>
          </w:p>
          <w:p w14:paraId="0764E9CB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QRSD：QRS时限；</w:t>
            </w:r>
          </w:p>
          <w:p w14:paraId="3E16CFC9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QTD：QT间期；</w:t>
            </w:r>
          </w:p>
          <w:p w14:paraId="344B06C7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Td：Q-T离散度；</w:t>
            </w:r>
          </w:p>
          <w:p w14:paraId="221D59F5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Rv5+SvI：Rv5和Sv1振幅之和；</w:t>
            </w:r>
          </w:p>
          <w:p w14:paraId="0113D1D5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MeanRR：所有心搏的 R-R 间期的平均值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；</w:t>
            </w: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 w14:paraId="28E6D5F3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SDNN：所有的窦性心搏 R-R（N-N）间期的标准差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3EBFBFBF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RMSSD：相邻 N-N 间期差值的均方根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172D68B5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CV:心率变异系数 ,是R-R间期标准差与均值之比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127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3" w:type="dxa"/>
            <w:vMerge w:val="restart"/>
            <w:vAlign w:val="center"/>
          </w:tcPr>
          <w:p w14:paraId="2950327D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*可提供报告</w:t>
            </w:r>
          </w:p>
        </w:tc>
        <w:tc>
          <w:tcPr>
            <w:tcW w:w="7155" w:type="dxa"/>
            <w:gridSpan w:val="2"/>
            <w:vAlign w:val="center"/>
          </w:tcPr>
          <w:p w14:paraId="4AC2495E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十二导心电图报告（含横向、纵向、单导）</w:t>
            </w:r>
          </w:p>
        </w:tc>
      </w:tr>
      <w:tr w14:paraId="5F97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43639549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253E6DC0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心音图报告</w:t>
            </w:r>
          </w:p>
        </w:tc>
      </w:tr>
      <w:tr w14:paraId="339E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1FC2897E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43C9F26D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体表标测心电图报告</w:t>
            </w:r>
          </w:p>
        </w:tc>
      </w:tr>
      <w:tr w14:paraId="7FFF6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701BC930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0543A4F3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心功能报告</w:t>
            </w:r>
          </w:p>
        </w:tc>
      </w:tr>
      <w:tr w14:paraId="1DCDA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4A5751E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6C35D94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心率变异性报告</w:t>
            </w:r>
          </w:p>
        </w:tc>
      </w:tr>
      <w:tr w14:paraId="5A5D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050C5957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4D50CE52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心室晚电位报告</w:t>
            </w:r>
          </w:p>
        </w:tc>
      </w:tr>
      <w:tr w14:paraId="14B8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3" w:type="dxa"/>
            <w:vAlign w:val="center"/>
          </w:tcPr>
          <w:p w14:paraId="7795A6A6">
            <w:pPr>
              <w:pStyle w:val="13"/>
              <w:spacing w:line="460" w:lineRule="exact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输入导联</w:t>
            </w:r>
          </w:p>
        </w:tc>
        <w:tc>
          <w:tcPr>
            <w:tcW w:w="7155" w:type="dxa"/>
            <w:gridSpan w:val="2"/>
            <w:vAlign w:val="center"/>
          </w:tcPr>
          <w:p w14:paraId="25DF8953">
            <w:pPr>
              <w:pStyle w:val="13"/>
              <w:spacing w:line="460" w:lineRule="exact"/>
              <w:ind w:firstLine="0" w:firstLineChars="0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Wilson 体系（12 导联）</w:t>
            </w:r>
          </w:p>
        </w:tc>
      </w:tr>
      <w:tr w14:paraId="2BF0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7BF2C13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采样频率</w:t>
            </w:r>
          </w:p>
        </w:tc>
        <w:tc>
          <w:tcPr>
            <w:tcW w:w="7155" w:type="dxa"/>
            <w:gridSpan w:val="2"/>
            <w:vAlign w:val="center"/>
          </w:tcPr>
          <w:p w14:paraId="59AC201D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500Hz </w:t>
            </w:r>
          </w:p>
        </w:tc>
      </w:tr>
      <w:tr w14:paraId="3226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 w14:paraId="32CAB89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走纸速度</w:t>
            </w:r>
          </w:p>
        </w:tc>
        <w:tc>
          <w:tcPr>
            <w:tcW w:w="7155" w:type="dxa"/>
            <w:gridSpan w:val="2"/>
            <w:vAlign w:val="center"/>
          </w:tcPr>
          <w:p w14:paraId="3A051BD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心电走纸速度12.5、25、50mm/s </w:t>
            </w:r>
          </w:p>
        </w:tc>
      </w:tr>
      <w:tr w14:paraId="2D2C6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4EB34518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2C16D9A8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心音走纸速度： 12.5、25、50、100mm/s</w:t>
            </w:r>
          </w:p>
        </w:tc>
      </w:tr>
      <w:tr w14:paraId="19D99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7BA15FE8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除颤过载保护功能</w:t>
            </w:r>
          </w:p>
        </w:tc>
        <w:tc>
          <w:tcPr>
            <w:tcW w:w="7155" w:type="dxa"/>
            <w:gridSpan w:val="2"/>
            <w:vAlign w:val="center"/>
          </w:tcPr>
          <w:p w14:paraId="3505B430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具有抗除颤电击保护功能</w:t>
            </w:r>
          </w:p>
        </w:tc>
      </w:tr>
      <w:tr w14:paraId="503A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 w14:paraId="4D76E6F2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*增益控制、准确度和稳定性</w:t>
            </w:r>
          </w:p>
        </w:tc>
        <w:tc>
          <w:tcPr>
            <w:tcW w:w="7155" w:type="dxa"/>
            <w:gridSpan w:val="2"/>
            <w:vAlign w:val="center"/>
          </w:tcPr>
          <w:p w14:paraId="788DF8D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具有固定增益选择20mm/mV、10mm/mV、5mm/mV增益准确度为±5％</w:t>
            </w:r>
          </w:p>
        </w:tc>
      </w:tr>
      <w:tr w14:paraId="049C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432DB2AA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704C14B0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心音增益选择：显示、打印时有增益控制的图标，有 10dB/cm、20dB/cm、40dB/cm、 50dB/cm 四档（可选）</w:t>
            </w:r>
          </w:p>
        </w:tc>
      </w:tr>
      <w:tr w14:paraId="1631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4ECAAD8A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255FE1D7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增益稳定性：设备开机1min以后，每分钟增益变化不应超过0.33％。每档固定增益的1h的总变化不应超过±3％</w:t>
            </w:r>
          </w:p>
        </w:tc>
      </w:tr>
      <w:tr w14:paraId="2599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 w14:paraId="06ED97E5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时间基准选择和准确度</w:t>
            </w:r>
          </w:p>
        </w:tc>
        <w:tc>
          <w:tcPr>
            <w:tcW w:w="7155" w:type="dxa"/>
            <w:gridSpan w:val="2"/>
            <w:vAlign w:val="center"/>
          </w:tcPr>
          <w:p w14:paraId="5DF28553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设备时间基准：12.5 mm/s、25 mm/s、50mm/s（可选）；</w:t>
            </w:r>
          </w:p>
        </w:tc>
      </w:tr>
      <w:tr w14:paraId="234E4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4D4BBAEA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51391C2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时间基准准确度：时间基准准确度在 0.2s～2.0s 范围内允许的时间误差不超过± 5％。</w:t>
            </w:r>
          </w:p>
        </w:tc>
      </w:tr>
      <w:tr w14:paraId="4057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7A30AE26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系统误差</w:t>
            </w:r>
          </w:p>
        </w:tc>
        <w:tc>
          <w:tcPr>
            <w:tcW w:w="7155" w:type="dxa"/>
            <w:gridSpan w:val="2"/>
            <w:vAlign w:val="center"/>
          </w:tcPr>
          <w:p w14:paraId="31309C08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输入信号（限于幅度和变化率为±5mV 和 125mV/s）被在输 出记录媒介上重建，其重建最大瞬间偏差为期望值的±5％或± 40μV，两者取大者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6C5E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578C33F2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滞后</w:t>
            </w:r>
          </w:p>
        </w:tc>
        <w:tc>
          <w:tcPr>
            <w:tcW w:w="7155" w:type="dxa"/>
            <w:gridSpan w:val="2"/>
            <w:vAlign w:val="center"/>
          </w:tcPr>
          <w:p w14:paraId="7D72B3FE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滞后在基线的两个方向上 15mm 偏离位置上不超过 0.5mm </w:t>
            </w:r>
          </w:p>
        </w:tc>
      </w:tr>
      <w:tr w14:paraId="4EB60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513" w:type="dxa"/>
            <w:vMerge w:val="restart"/>
            <w:vAlign w:val="center"/>
          </w:tcPr>
          <w:p w14:paraId="12938D93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*</w:t>
            </w: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心音幅频响应</w:t>
            </w:r>
          </w:p>
        </w:tc>
        <w:tc>
          <w:tcPr>
            <w:tcW w:w="7155" w:type="dxa"/>
            <w:gridSpan w:val="2"/>
            <w:vAlign w:val="center"/>
          </w:tcPr>
          <w:p w14:paraId="402D6B7C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低频：在耦合腔输出100dB 声压级工控下，系统低频段40Hz在10档位上幅值不低于 3 格，20Hz、60Hz不低于40Hz幅值的 70％； </w:t>
            </w:r>
          </w:p>
        </w:tc>
      </w:tr>
      <w:tr w14:paraId="4022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7E81788D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5A66D2D5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中频：在耦合腔输出100dB声压级工控下，系统中频段100Hz在10 档位上幅值不低于4格，120Hz不低于100Hz幅值的70％； </w:t>
            </w:r>
          </w:p>
        </w:tc>
      </w:tr>
      <w:tr w14:paraId="08C8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397F34FB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555C99AA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高频：在耦合腔输出100dB声压级工控下，系统高频段400Hz在20 档位上幅值不低于4格，200Hz、300Hz、600Hz、800Hz不低于400Hz 幅值的70％；</w:t>
            </w:r>
          </w:p>
        </w:tc>
      </w:tr>
      <w:tr w14:paraId="4D319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 w14:paraId="77C9D469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*储存回放功能</w:t>
            </w:r>
          </w:p>
        </w:tc>
        <w:tc>
          <w:tcPr>
            <w:tcW w:w="7155" w:type="dxa"/>
            <w:gridSpan w:val="2"/>
            <w:vAlign w:val="center"/>
          </w:tcPr>
          <w:p w14:paraId="556F515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在实时界面中，有保存键，按此键可对图形进行保存；</w:t>
            </w:r>
          </w:p>
        </w:tc>
      </w:tr>
      <w:tr w14:paraId="60EA9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0AFD1E8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72C39417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支持ECG和PCG的波形电影回放。</w:t>
            </w:r>
          </w:p>
        </w:tc>
      </w:tr>
      <w:tr w14:paraId="4A292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restart"/>
            <w:vAlign w:val="center"/>
          </w:tcPr>
          <w:p w14:paraId="0434F0E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提示功能</w:t>
            </w:r>
          </w:p>
        </w:tc>
        <w:tc>
          <w:tcPr>
            <w:tcW w:w="7155" w:type="dxa"/>
            <w:gridSpan w:val="2"/>
            <w:vAlign w:val="center"/>
          </w:tcPr>
          <w:p w14:paraId="1CC65F8B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非正常工作状态的指示：在实时界面中，当处于非正常工作状态时，各相应的导联会处于红色的标记；当处于正常工作状态时，各相应的导联会处于黑色的标记</w:t>
            </w:r>
          </w:p>
        </w:tc>
      </w:tr>
      <w:tr w14:paraId="54C34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Merge w:val="continue"/>
            <w:vAlign w:val="center"/>
          </w:tcPr>
          <w:p w14:paraId="1F81836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155" w:type="dxa"/>
            <w:gridSpan w:val="2"/>
            <w:vAlign w:val="center"/>
          </w:tcPr>
          <w:p w14:paraId="3C46D80F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心率提示（仅限于II导联）：60次/s-120次/s 显示黑色，慢心率30次/s-59次/s 显示红色，快心率121次/s-200次/s 显示红色</w:t>
            </w:r>
          </w:p>
        </w:tc>
      </w:tr>
      <w:tr w14:paraId="613D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313E5259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打印功能</w:t>
            </w:r>
          </w:p>
        </w:tc>
        <w:tc>
          <w:tcPr>
            <w:tcW w:w="7155" w:type="dxa"/>
            <w:gridSpan w:val="2"/>
            <w:vAlign w:val="center"/>
          </w:tcPr>
          <w:p w14:paraId="3243A620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具有心电纵向打印、心电横向打印、单导打印、心率变异性打印、心室晚电位打印、心音图打印等功能</w:t>
            </w:r>
          </w:p>
        </w:tc>
      </w:tr>
      <w:tr w14:paraId="44A26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68" w:type="dxa"/>
            <w:gridSpan w:val="3"/>
            <w:vAlign w:val="center"/>
          </w:tcPr>
          <w:p w14:paraId="22C4FBF9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售后服务需求</w:t>
            </w:r>
          </w:p>
        </w:tc>
      </w:tr>
      <w:tr w14:paraId="0F883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10A0B754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155" w:type="dxa"/>
            <w:gridSpan w:val="2"/>
            <w:vAlign w:val="center"/>
          </w:tcPr>
          <w:p w14:paraId="3ADDC529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提供生产厂家或销售商家的售后服务承诺书</w:t>
            </w:r>
          </w:p>
        </w:tc>
      </w:tr>
      <w:tr w14:paraId="7CFF6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75DEA6E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155" w:type="dxa"/>
            <w:gridSpan w:val="2"/>
            <w:vAlign w:val="center"/>
          </w:tcPr>
          <w:p w14:paraId="581CBFC6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提供一年以上的免费维修服务</w:t>
            </w:r>
          </w:p>
        </w:tc>
      </w:tr>
      <w:tr w14:paraId="3132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3" w:type="dxa"/>
            <w:vAlign w:val="center"/>
          </w:tcPr>
          <w:p w14:paraId="26C50E77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155" w:type="dxa"/>
            <w:gridSpan w:val="2"/>
            <w:vAlign w:val="center"/>
          </w:tcPr>
          <w:p w14:paraId="72AE795B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提供厂家技术指导和学术支持</w:t>
            </w:r>
          </w:p>
        </w:tc>
      </w:tr>
      <w:tr w14:paraId="034F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467" w:type="dxa"/>
            <w:gridSpan w:val="2"/>
            <w:vAlign w:val="center"/>
          </w:tcPr>
          <w:p w14:paraId="3CB02EF7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设备配置清单</w:t>
            </w:r>
          </w:p>
        </w:tc>
        <w:tc>
          <w:tcPr>
            <w:tcW w:w="2201" w:type="dxa"/>
            <w:vAlign w:val="center"/>
          </w:tcPr>
          <w:p w14:paraId="77FA5A1B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</w:tr>
      <w:tr w14:paraId="7A608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6A013E7C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信息采集器</w:t>
            </w:r>
          </w:p>
        </w:tc>
        <w:tc>
          <w:tcPr>
            <w:tcW w:w="2201" w:type="dxa"/>
            <w:vAlign w:val="center"/>
          </w:tcPr>
          <w:p w14:paraId="2B06108F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1台</w:t>
            </w:r>
          </w:p>
        </w:tc>
      </w:tr>
      <w:tr w14:paraId="5F8A0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3AE61AE0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USB通信电缆</w:t>
            </w:r>
          </w:p>
        </w:tc>
        <w:tc>
          <w:tcPr>
            <w:tcW w:w="2201" w:type="dxa"/>
            <w:vAlign w:val="center"/>
          </w:tcPr>
          <w:p w14:paraId="6A84E561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1根</w:t>
            </w:r>
          </w:p>
        </w:tc>
      </w:tr>
      <w:tr w14:paraId="0FEB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5EC2F708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标准12导导联线</w:t>
            </w:r>
          </w:p>
        </w:tc>
        <w:tc>
          <w:tcPr>
            <w:tcW w:w="2201" w:type="dxa"/>
            <w:vAlign w:val="center"/>
          </w:tcPr>
          <w:p w14:paraId="05F01076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1根</w:t>
            </w:r>
          </w:p>
        </w:tc>
      </w:tr>
      <w:tr w14:paraId="4DB6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093809D2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电极导管线</w:t>
            </w:r>
          </w:p>
        </w:tc>
        <w:tc>
          <w:tcPr>
            <w:tcW w:w="2201" w:type="dxa"/>
            <w:vAlign w:val="center"/>
          </w:tcPr>
          <w:p w14:paraId="30A651FB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1根</w:t>
            </w:r>
          </w:p>
        </w:tc>
      </w:tr>
      <w:tr w14:paraId="5B69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38FCA8DF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电极导管（仅用于设备调试）</w:t>
            </w:r>
          </w:p>
        </w:tc>
        <w:tc>
          <w:tcPr>
            <w:tcW w:w="2201" w:type="dxa"/>
            <w:vAlign w:val="center"/>
          </w:tcPr>
          <w:p w14:paraId="7D3E78C5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1个</w:t>
            </w:r>
          </w:p>
        </w:tc>
      </w:tr>
      <w:tr w14:paraId="392E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4B368FA8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应用软件</w:t>
            </w:r>
          </w:p>
        </w:tc>
        <w:tc>
          <w:tcPr>
            <w:tcW w:w="2201" w:type="dxa"/>
            <w:vAlign w:val="center"/>
          </w:tcPr>
          <w:p w14:paraId="2C340EF3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1套</w:t>
            </w:r>
          </w:p>
        </w:tc>
      </w:tr>
      <w:tr w14:paraId="4CBB8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33746D45">
            <w:pPr>
              <w:ind w:left="960" w:hanging="964" w:hangingChars="40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产品使用说明书</w:t>
            </w:r>
          </w:p>
        </w:tc>
        <w:tc>
          <w:tcPr>
            <w:tcW w:w="2201" w:type="dxa"/>
            <w:vAlign w:val="center"/>
          </w:tcPr>
          <w:p w14:paraId="46E9E101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1份</w:t>
            </w:r>
          </w:p>
        </w:tc>
      </w:tr>
      <w:tr w14:paraId="6F49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5D93ACB0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产品保修卡</w:t>
            </w:r>
          </w:p>
        </w:tc>
        <w:tc>
          <w:tcPr>
            <w:tcW w:w="2201" w:type="dxa"/>
            <w:vAlign w:val="center"/>
          </w:tcPr>
          <w:p w14:paraId="44BFAFE1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1份</w:t>
            </w:r>
          </w:p>
        </w:tc>
      </w:tr>
      <w:tr w14:paraId="7851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 w14:paraId="104EF4A8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产品合格证</w:t>
            </w:r>
          </w:p>
        </w:tc>
        <w:tc>
          <w:tcPr>
            <w:tcW w:w="2201" w:type="dxa"/>
            <w:vAlign w:val="center"/>
          </w:tcPr>
          <w:p w14:paraId="787D6EFD">
            <w:pPr>
              <w:ind w:left="960" w:hanging="964" w:hangingChars="400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1份</w:t>
            </w:r>
          </w:p>
        </w:tc>
      </w:tr>
      <w:tr w14:paraId="61CB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668" w:type="dxa"/>
            <w:gridSpan w:val="3"/>
            <w:vAlign w:val="center"/>
          </w:tcPr>
          <w:p w14:paraId="64253DA8">
            <w:pPr>
              <w:ind w:left="960" w:hanging="964" w:hangingChars="40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备注：“*”号条款必须满足，一条不满足视为投标无效，非“*”号条款，三条不满足视为投标无效。</w:t>
            </w:r>
          </w:p>
        </w:tc>
      </w:tr>
    </w:tbl>
    <w:p w14:paraId="787B04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 xml:space="preserve">     </w:t>
      </w:r>
      <w:r>
        <w:rPr>
          <w:rFonts w:hint="eastAsia" w:ascii="仿宋" w:hAnsi="仿宋" w:eastAsia="仿宋" w:cs="仿宋"/>
          <w:bCs/>
          <w:sz w:val="24"/>
          <w:szCs w:val="24"/>
        </w:rPr>
        <w:t xml:space="preserve">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YjAyYmQ1NDhkYWMzNGNmMDFlNTUyZmY5OWIzZDEifQ=="/>
  </w:docVars>
  <w:rsids>
    <w:rsidRoot w:val="51F95F72"/>
    <w:rsid w:val="0000748D"/>
    <w:rsid w:val="00033DC9"/>
    <w:rsid w:val="0003575C"/>
    <w:rsid w:val="00041A2E"/>
    <w:rsid w:val="000428D8"/>
    <w:rsid w:val="00115EEC"/>
    <w:rsid w:val="00122041"/>
    <w:rsid w:val="00162540"/>
    <w:rsid w:val="001C3E92"/>
    <w:rsid w:val="00236AE6"/>
    <w:rsid w:val="0032255F"/>
    <w:rsid w:val="00341BF3"/>
    <w:rsid w:val="00362DBD"/>
    <w:rsid w:val="003673E6"/>
    <w:rsid w:val="00371340"/>
    <w:rsid w:val="003777B5"/>
    <w:rsid w:val="003C5A9B"/>
    <w:rsid w:val="003F49AB"/>
    <w:rsid w:val="0046001F"/>
    <w:rsid w:val="0046625D"/>
    <w:rsid w:val="004B2C8F"/>
    <w:rsid w:val="00550E51"/>
    <w:rsid w:val="00572F07"/>
    <w:rsid w:val="005B4A10"/>
    <w:rsid w:val="005D0783"/>
    <w:rsid w:val="005D4DC9"/>
    <w:rsid w:val="00607BE9"/>
    <w:rsid w:val="00607E7A"/>
    <w:rsid w:val="0069771B"/>
    <w:rsid w:val="006B2EBE"/>
    <w:rsid w:val="006F7612"/>
    <w:rsid w:val="0076253C"/>
    <w:rsid w:val="00783D50"/>
    <w:rsid w:val="00792A95"/>
    <w:rsid w:val="007C529C"/>
    <w:rsid w:val="007F0031"/>
    <w:rsid w:val="00835F7A"/>
    <w:rsid w:val="00923802"/>
    <w:rsid w:val="009335AA"/>
    <w:rsid w:val="00943F3B"/>
    <w:rsid w:val="009919FF"/>
    <w:rsid w:val="009D329A"/>
    <w:rsid w:val="00A204D2"/>
    <w:rsid w:val="00A2088D"/>
    <w:rsid w:val="00B42C13"/>
    <w:rsid w:val="00B70DDC"/>
    <w:rsid w:val="00C67A83"/>
    <w:rsid w:val="00C81F2D"/>
    <w:rsid w:val="00CA6C8F"/>
    <w:rsid w:val="00CD006F"/>
    <w:rsid w:val="00D47CFF"/>
    <w:rsid w:val="00D60D60"/>
    <w:rsid w:val="00D66D96"/>
    <w:rsid w:val="00DB5A72"/>
    <w:rsid w:val="00DB6087"/>
    <w:rsid w:val="00E004DA"/>
    <w:rsid w:val="00E16B86"/>
    <w:rsid w:val="00E16B8C"/>
    <w:rsid w:val="00E21945"/>
    <w:rsid w:val="00E856F9"/>
    <w:rsid w:val="00EC754D"/>
    <w:rsid w:val="03CF7948"/>
    <w:rsid w:val="04F34524"/>
    <w:rsid w:val="07517E2E"/>
    <w:rsid w:val="080B363C"/>
    <w:rsid w:val="09064409"/>
    <w:rsid w:val="097A7E4E"/>
    <w:rsid w:val="104B1AB9"/>
    <w:rsid w:val="14062F7D"/>
    <w:rsid w:val="25F433C6"/>
    <w:rsid w:val="26005ABD"/>
    <w:rsid w:val="2A076B97"/>
    <w:rsid w:val="2BEA36E5"/>
    <w:rsid w:val="2C1D1B69"/>
    <w:rsid w:val="2CFC1A8A"/>
    <w:rsid w:val="2D9F7D6A"/>
    <w:rsid w:val="2DFF06DC"/>
    <w:rsid w:val="2E110A97"/>
    <w:rsid w:val="31432115"/>
    <w:rsid w:val="31B75644"/>
    <w:rsid w:val="360F782A"/>
    <w:rsid w:val="37CC0A59"/>
    <w:rsid w:val="38175CE8"/>
    <w:rsid w:val="39D7334B"/>
    <w:rsid w:val="3D0E6134"/>
    <w:rsid w:val="43D00E62"/>
    <w:rsid w:val="459F175D"/>
    <w:rsid w:val="46662F6D"/>
    <w:rsid w:val="4C51578A"/>
    <w:rsid w:val="51F95F72"/>
    <w:rsid w:val="53E17CCB"/>
    <w:rsid w:val="55EF1326"/>
    <w:rsid w:val="57DE293D"/>
    <w:rsid w:val="592D2F57"/>
    <w:rsid w:val="5BB13FDD"/>
    <w:rsid w:val="600A7306"/>
    <w:rsid w:val="62825CCB"/>
    <w:rsid w:val="63736A80"/>
    <w:rsid w:val="66880C40"/>
    <w:rsid w:val="6A8A32D9"/>
    <w:rsid w:val="70F11781"/>
    <w:rsid w:val="713C69BB"/>
    <w:rsid w:val="741C03F7"/>
    <w:rsid w:val="76E36F16"/>
    <w:rsid w:val="7A425FA9"/>
    <w:rsid w:val="7DDE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段"/>
    <w:basedOn w:val="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beforeLines="0" w:afterLines="0"/>
      <w:ind w:firstLine="420" w:firstLineChars="200"/>
    </w:pPr>
    <w:rPr>
      <w:rFonts w:hint="eastAsia" w:ascii="宋体" w:hAnsi="Times New Roman" w:eastAsia="宋体" w:cs="Times New Roman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1269</Words>
  <Characters>1588</Characters>
  <Lines>5</Lines>
  <Paragraphs>1</Paragraphs>
  <TotalTime>6</TotalTime>
  <ScaleCrop>false</ScaleCrop>
  <LinksUpToDate>false</LinksUpToDate>
  <CharactersWithSpaces>1647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2019-04-28T10:54:00Z</dcterms:created>
  <dc:creator>Administrator</dc:creator>
  <cp:lastModifiedBy>Administrator</cp:lastModifiedBy>
  <cp:lastPrinted>2024-05-28T03:32:00Z</cp:lastPrinted>
  <dcterms:modified xsi:type="dcterms:W3CDTF">2024-11-06T08:45:00Z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85AB693EB3EE4C81AB2C06C342ADF869_13</vt:lpwstr>
  </property>
</Properties>
</file>