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665DA5"/>
    <w:p w14:paraId="17F9513D">
      <w:pPr>
        <w:spacing w:line="276" w:lineRule="auto"/>
        <w:jc w:val="center"/>
        <w:rPr>
          <w:rFonts w:ascii="仿宋" w:hAnsi="仿宋" w:eastAsia="仿宋" w:cs="宋体"/>
          <w:b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000000"/>
          <w:kern w:val="0"/>
          <w:sz w:val="32"/>
          <w:szCs w:val="32"/>
          <w:lang w:val="en-US" w:eastAsia="zh-CN"/>
        </w:rPr>
        <w:t>附件4、</w:t>
      </w:r>
      <w:r>
        <w:rPr>
          <w:rFonts w:hint="eastAsia" w:ascii="仿宋" w:hAnsi="仿宋" w:eastAsia="仿宋" w:cs="宋体"/>
          <w:b/>
          <w:color w:val="000000"/>
          <w:kern w:val="0"/>
          <w:sz w:val="32"/>
          <w:szCs w:val="32"/>
        </w:rPr>
        <w:t>可穿戴动态心电记录仪（心电衣）</w:t>
      </w:r>
      <w:bookmarkStart w:id="0" w:name="_GoBack"/>
      <w:bookmarkEnd w:id="0"/>
    </w:p>
    <w:p w14:paraId="23BCCA94">
      <w:pPr>
        <w:ind w:left="960" w:hanging="1205" w:hangingChars="400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整机要求：</w:t>
      </w:r>
    </w:p>
    <w:p w14:paraId="7514F3BA">
      <w:pPr>
        <w:ind w:left="960" w:hanging="1205" w:hangingChars="400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、动态心电分析软件一套：需具有心律失常分析、房颤、房扑分析、散点图分析、Demix分析、页扫描、模版分析、直方图、心率变异、预诊断、一键生成结论或统计描述、至少两套诊断词条体系等功能，具有网络版及单机版功能可选择；品牌计算机一套，8G内存，1T硬盘，29寸液晶显示器，高速黑白激光打印机一台.</w:t>
      </w:r>
    </w:p>
    <w:p w14:paraId="47FC7AB5">
      <w:pPr>
        <w:ind w:left="1200" w:leftChars="428" w:hanging="301" w:hangingChars="100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动态心电记录仪主要功能和技术要求：</w:t>
      </w:r>
    </w:p>
    <w:p w14:paraId="000E7B86">
      <w:pPr>
        <w:ind w:left="960" w:hanging="1205" w:hangingChars="400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1、支持标准同步12导联。</w:t>
      </w:r>
    </w:p>
    <w:p w14:paraId="76ED2C5D">
      <w:pPr>
        <w:ind w:left="960" w:hanging="1205" w:hangingChars="400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*2、二类医疗器械资质，可穿戴部分的心电衣应具有二类医疗器械许可证。</w:t>
      </w:r>
    </w:p>
    <w:p w14:paraId="169BD7BF">
      <w:pPr>
        <w:ind w:left="960" w:hanging="1205" w:hangingChars="400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*3、非贴片式，柔性织物传感电极。 </w:t>
      </w:r>
    </w:p>
    <w:p w14:paraId="3EF0A1FD">
      <w:pPr>
        <w:ind w:left="960" w:hanging="1205" w:hangingChars="400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4、动态心电记录仪支持可充电模式，记录时长不低于24h，。</w:t>
      </w:r>
    </w:p>
    <w:p w14:paraId="1DD98846">
      <w:pPr>
        <w:ind w:left="960" w:hanging="1205" w:hangingChars="400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5、支持特殊事件按钮，方便快速找到病患特殊事件发生时间；记录盒按键凹陷设计，防止误操作。</w:t>
      </w:r>
    </w:p>
    <w:p w14:paraId="29C85616">
      <w:pPr>
        <w:ind w:left="960" w:hanging="1205" w:hangingChars="400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6、导联连接正常时，记录盒无需手动操作，可自动开始记录，避免忘记按键而未启动设备造成的无效记录。</w:t>
      </w:r>
    </w:p>
    <w:p w14:paraId="5F09962E">
      <w:pPr>
        <w:ind w:left="960" w:hanging="1205" w:hangingChars="400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7、采样频率范围不低于250Hz。</w:t>
      </w:r>
    </w:p>
    <w:p w14:paraId="70C8BEFC">
      <w:pPr>
        <w:ind w:left="960" w:hanging="1205" w:hangingChars="400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8、采用工业级SD卡存储心电数据，稳定可靠，寿命长；SD卡容量不低于45天。</w:t>
      </w:r>
    </w:p>
    <w:p w14:paraId="24931539">
      <w:pPr>
        <w:ind w:left="960" w:hanging="1205" w:hangingChars="400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9、共模抑制比≥110dB，抗干扰能力强，心电波形干扰小，提高分析效率。</w:t>
      </w:r>
    </w:p>
    <w:p w14:paraId="23FD2417">
      <w:pPr>
        <w:ind w:left="960" w:hanging="1205" w:hangingChars="400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*10、多尺码，男女款穿戴类监测背心，包含柔性织物电极的可穿戴服装部分，应满足不低于50次机洗。</w:t>
      </w:r>
    </w:p>
    <w:p w14:paraId="59DC1F15">
      <w:pPr>
        <w:ind w:left="960" w:hanging="1205" w:hangingChars="400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*11、适应于未来医疗发展，具备APP关联及服务能力，扩展性强，可通过手机监测实时波形，具备亲情账户功能。</w:t>
      </w:r>
    </w:p>
    <w:p w14:paraId="66D3912A">
      <w:pPr>
        <w:ind w:left="960" w:hanging="1205" w:hangingChars="400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*12、传输方式具备蓝牙及4G或5G传输功能。</w:t>
      </w:r>
    </w:p>
    <w:p w14:paraId="2CE15AFA">
      <w:pPr>
        <w:ind w:left="960" w:hanging="1205" w:hangingChars="400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*13、具备与设备关联的ios和安卓app，用于实时监测，穿着判断、时长记录以及报告返回，</w:t>
      </w:r>
    </w:p>
    <w:p w14:paraId="7F760C4B">
      <w:pPr>
        <w:ind w:left="960" w:hanging="1205" w:hangingChars="400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备注：“*”号条款必须满足，一条不满足视为投标无效，非“*”号条款，三条不满足视为投标无效。</w:t>
      </w:r>
    </w:p>
    <w:p w14:paraId="50F72DA8"/>
    <w:p w14:paraId="750DE027"/>
    <w:sectPr>
      <w:pgSz w:w="11906" w:h="16838"/>
      <w:pgMar w:top="1418" w:right="1418" w:bottom="1418" w:left="1418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5YjAyYmQ1NDhkYWMzNGNmMDFlNTUyZmY5OWIzZDEifQ=="/>
  </w:docVars>
  <w:rsids>
    <w:rsidRoot w:val="00537294"/>
    <w:rsid w:val="00023FE1"/>
    <w:rsid w:val="00425848"/>
    <w:rsid w:val="00537294"/>
    <w:rsid w:val="0056429F"/>
    <w:rsid w:val="008C3260"/>
    <w:rsid w:val="00977243"/>
    <w:rsid w:val="009C06A1"/>
    <w:rsid w:val="00AC03D0"/>
    <w:rsid w:val="00C65008"/>
    <w:rsid w:val="00C97B4B"/>
    <w:rsid w:val="00D10534"/>
    <w:rsid w:val="2A3D5AF6"/>
    <w:rsid w:val="57C67C5C"/>
    <w:rsid w:val="6AB873C9"/>
    <w:rsid w:val="7292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rFonts w:ascii="Times New Roman" w:hAnsi="Times New Roman" w:eastAsia="宋体" w:cs="Times New Roman"/>
      <w:kern w:val="0"/>
      <w:sz w:val="18"/>
      <w:szCs w:val="18"/>
      <w:lang w:eastAsia="en-US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639</Words>
  <Characters>679</Characters>
  <Lines>4</Lines>
  <Paragraphs>1</Paragraphs>
  <TotalTime>2</TotalTime>
  <ScaleCrop>false</ScaleCrop>
  <LinksUpToDate>false</LinksUpToDate>
  <CharactersWithSpaces>680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2023-10-13T06:45:00Z</dcterms:created>
  <dc:creator>智硕 陕西</dc:creator>
  <cp:lastModifiedBy>Administrator</cp:lastModifiedBy>
  <dcterms:modified xsi:type="dcterms:W3CDTF">2024-11-06T08:45:15Z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242A49F5575F4247998D7889DA8F61B3_13</vt:lpwstr>
  </property>
</Properties>
</file>