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7E718"/>
    <w:p w14:paraId="2A86F74A">
      <w:pPr>
        <w:adjustRightInd w:val="0"/>
        <w:snapToGrid w:val="0"/>
        <w:jc w:val="center"/>
        <w:rPr>
          <w:rFonts w:hint="eastAsia"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w:t>
      </w:r>
    </w:p>
    <w:p w14:paraId="61496B52">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直线加速器保修</w:t>
      </w:r>
      <w:r>
        <w:rPr>
          <w:rFonts w:hint="eastAsia" w:ascii="方正小标宋简体" w:hAnsi="方正小标宋简体" w:eastAsia="方正小标宋简体" w:cs="方正小标宋简体"/>
          <w:sz w:val="44"/>
          <w:szCs w:val="44"/>
          <w:lang w:val="en-US" w:eastAsia="zh-CN"/>
        </w:rPr>
        <w:t>单一来源</w:t>
      </w:r>
      <w:r>
        <w:rPr>
          <w:rFonts w:hint="eastAsia" w:ascii="方正小标宋简体" w:hAnsi="方正小标宋简体" w:eastAsia="方正小标宋简体" w:cs="方正小标宋简体"/>
          <w:sz w:val="44"/>
          <w:szCs w:val="44"/>
        </w:rPr>
        <w:t>采购</w:t>
      </w:r>
      <w:bookmarkStart w:id="10" w:name="_GoBack"/>
      <w:bookmarkEnd w:id="10"/>
      <w:r>
        <w:rPr>
          <w:rFonts w:hint="eastAsia" w:ascii="方正小标宋简体" w:hAnsi="方正小标宋简体" w:eastAsia="方正小标宋简体" w:cs="方正小标宋简体"/>
          <w:sz w:val="44"/>
          <w:szCs w:val="44"/>
        </w:rPr>
        <w:t>公告</w:t>
      </w:r>
    </w:p>
    <w:p w14:paraId="410726B9">
      <w:pPr>
        <w:rPr>
          <w:rFonts w:ascii="黑体" w:hAnsi="黑体" w:eastAsia="黑体" w:cs="黑体"/>
          <w:sz w:val="32"/>
          <w:szCs w:val="32"/>
        </w:rPr>
      </w:pPr>
    </w:p>
    <w:p w14:paraId="665BA2D6">
      <w:pPr>
        <w:rPr>
          <w:rFonts w:ascii="黑体" w:hAnsi="黑体" w:eastAsia="黑体" w:cs="黑体"/>
          <w:sz w:val="32"/>
          <w:szCs w:val="32"/>
        </w:rPr>
      </w:pPr>
      <w:r>
        <w:rPr>
          <w:rFonts w:hint="eastAsia" w:ascii="黑体" w:hAnsi="黑体" w:eastAsia="黑体" w:cs="黑体"/>
          <w:sz w:val="32"/>
          <w:szCs w:val="32"/>
        </w:rPr>
        <w:t>一、项目基本情况</w:t>
      </w:r>
    </w:p>
    <w:p w14:paraId="023784D9">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项目编号：</w:t>
      </w:r>
    </w:p>
    <w:p w14:paraId="5EFA0D94">
      <w:pPr>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color w:val="FF0000"/>
          <w:sz w:val="32"/>
          <w:szCs w:val="32"/>
        </w:rPr>
        <w:t>大庆市人民医院</w:t>
      </w:r>
      <w:bookmarkStart w:id="1" w:name="OLE_LINK4"/>
      <w:r>
        <w:rPr>
          <w:rFonts w:hint="eastAsia" w:ascii="仿宋_GB2312" w:hAnsi="仿宋_GB2312" w:eastAsia="仿宋_GB2312" w:cs="仿宋_GB2312"/>
          <w:color w:val="FF0000"/>
          <w:sz w:val="32"/>
          <w:szCs w:val="32"/>
        </w:rPr>
        <w:t>直线加速器保修</w:t>
      </w:r>
      <w:bookmarkEnd w:id="1"/>
      <w:r>
        <w:rPr>
          <w:rFonts w:hint="eastAsia" w:ascii="仿宋_GB2312" w:hAnsi="仿宋_GB2312" w:eastAsia="仿宋_GB2312" w:cs="仿宋_GB2312"/>
          <w:color w:val="FF0000"/>
          <w:sz w:val="32"/>
          <w:szCs w:val="32"/>
        </w:rPr>
        <w:t>采购</w:t>
      </w:r>
    </w:p>
    <w:p w14:paraId="7B5FC26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采购方式：</w:t>
      </w:r>
      <w:r>
        <w:rPr>
          <w:rFonts w:hint="eastAsia" w:ascii="仿宋_GB2312" w:hAnsi="仿宋_GB2312" w:eastAsia="仿宋_GB2312" w:cs="仿宋_GB2312"/>
          <w:color w:val="FF0000"/>
          <w:sz w:val="32"/>
          <w:szCs w:val="32"/>
        </w:rPr>
        <w:t>单一来源</w:t>
      </w:r>
    </w:p>
    <w:p w14:paraId="3E863516">
      <w:pPr>
        <w:ind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采购需求</w:t>
      </w:r>
      <w:r>
        <w:rPr>
          <w:rFonts w:hint="eastAsia" w:ascii="黑体" w:hAnsi="黑体" w:eastAsia="黑体" w:cs="黑体"/>
          <w:sz w:val="32"/>
          <w:szCs w:val="32"/>
        </w:rPr>
        <w:t>：</w:t>
      </w:r>
    </w:p>
    <w:tbl>
      <w:tblPr>
        <w:tblStyle w:val="10"/>
        <w:tblpPr w:leftFromText="180" w:rightFromText="180" w:vertAnchor="text" w:horzAnchor="page" w:tblpX="1107" w:tblpY="375"/>
        <w:tblOverlap w:val="never"/>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740"/>
        <w:gridCol w:w="1215"/>
        <w:gridCol w:w="1080"/>
        <w:gridCol w:w="1335"/>
        <w:gridCol w:w="1200"/>
        <w:gridCol w:w="1290"/>
        <w:gridCol w:w="1466"/>
      </w:tblGrid>
      <w:tr w14:paraId="7B09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AF8966E">
            <w:pPr>
              <w:spacing w:line="600" w:lineRule="exact"/>
              <w:jc w:val="center"/>
              <w:rPr>
                <w:rFonts w:hint="eastAsia" w:ascii="黑体" w:hAnsi="黑体" w:eastAsia="黑体" w:cs="黑体"/>
                <w:sz w:val="24"/>
                <w:lang w:eastAsia="zh-CN"/>
              </w:rPr>
            </w:pPr>
            <w:r>
              <w:rPr>
                <w:rFonts w:hint="eastAsia" w:ascii="黑体" w:hAnsi="黑体" w:eastAsia="黑体" w:cs="黑体"/>
                <w:sz w:val="24"/>
                <w:lang w:val="en-US" w:eastAsia="zh-CN"/>
              </w:rPr>
              <w:t>合同包</w:t>
            </w:r>
          </w:p>
        </w:tc>
        <w:tc>
          <w:tcPr>
            <w:tcW w:w="1740" w:type="dxa"/>
            <w:vAlign w:val="center"/>
          </w:tcPr>
          <w:p w14:paraId="3AA08E31">
            <w:pPr>
              <w:spacing w:line="600" w:lineRule="exact"/>
              <w:jc w:val="center"/>
              <w:rPr>
                <w:rFonts w:ascii="黑体" w:hAnsi="黑体" w:eastAsia="黑体" w:cs="黑体"/>
                <w:sz w:val="24"/>
              </w:rPr>
            </w:pPr>
            <w:r>
              <w:rPr>
                <w:rFonts w:hint="eastAsia" w:ascii="黑体" w:hAnsi="黑体" w:eastAsia="黑体" w:cs="黑体"/>
                <w:sz w:val="24"/>
              </w:rPr>
              <w:t>采购项目名称</w:t>
            </w:r>
          </w:p>
        </w:tc>
        <w:tc>
          <w:tcPr>
            <w:tcW w:w="1215" w:type="dxa"/>
            <w:vAlign w:val="center"/>
          </w:tcPr>
          <w:p w14:paraId="61DC59E2">
            <w:pPr>
              <w:spacing w:line="600" w:lineRule="exact"/>
              <w:jc w:val="center"/>
              <w:rPr>
                <w:rFonts w:ascii="黑体" w:hAnsi="黑体" w:eastAsia="黑体" w:cs="黑体"/>
                <w:sz w:val="24"/>
              </w:rPr>
            </w:pPr>
            <w:r>
              <w:rPr>
                <w:rFonts w:hint="eastAsia" w:ascii="黑体" w:hAnsi="黑体" w:eastAsia="黑体" w:cs="黑体"/>
                <w:sz w:val="24"/>
              </w:rPr>
              <w:t>使用科室</w:t>
            </w:r>
          </w:p>
        </w:tc>
        <w:tc>
          <w:tcPr>
            <w:tcW w:w="1080" w:type="dxa"/>
            <w:vAlign w:val="center"/>
          </w:tcPr>
          <w:p w14:paraId="3A7FC787">
            <w:pPr>
              <w:spacing w:line="600" w:lineRule="exact"/>
              <w:jc w:val="center"/>
              <w:rPr>
                <w:rFonts w:ascii="黑体" w:hAnsi="黑体" w:eastAsia="黑体" w:cs="黑体"/>
                <w:sz w:val="24"/>
              </w:rPr>
            </w:pPr>
            <w:r>
              <w:rPr>
                <w:rFonts w:hint="eastAsia" w:ascii="黑体" w:hAnsi="黑体" w:eastAsia="黑体" w:cs="黑体"/>
                <w:sz w:val="24"/>
              </w:rPr>
              <w:t>数量</w:t>
            </w:r>
          </w:p>
        </w:tc>
        <w:tc>
          <w:tcPr>
            <w:tcW w:w="1335" w:type="dxa"/>
            <w:vAlign w:val="center"/>
          </w:tcPr>
          <w:p w14:paraId="6D7CA184">
            <w:pPr>
              <w:spacing w:line="600" w:lineRule="exact"/>
              <w:jc w:val="center"/>
              <w:rPr>
                <w:rFonts w:ascii="黑体" w:hAnsi="黑体" w:eastAsia="黑体" w:cs="黑体"/>
                <w:sz w:val="24"/>
              </w:rPr>
            </w:pPr>
            <w:r>
              <w:rPr>
                <w:rFonts w:hint="eastAsia" w:ascii="黑体" w:hAnsi="黑体" w:eastAsia="黑体" w:cs="黑体"/>
                <w:sz w:val="24"/>
              </w:rPr>
              <w:t>预算单价</w:t>
            </w:r>
          </w:p>
          <w:p w14:paraId="0095BCBF">
            <w:pPr>
              <w:spacing w:line="600" w:lineRule="exact"/>
              <w:jc w:val="center"/>
              <w:rPr>
                <w:rFonts w:ascii="黑体" w:hAnsi="黑体" w:eastAsia="黑体" w:cs="黑体"/>
                <w:sz w:val="24"/>
              </w:rPr>
            </w:pPr>
            <w:r>
              <w:rPr>
                <w:rFonts w:hint="eastAsia" w:ascii="黑体" w:hAnsi="黑体" w:eastAsia="黑体" w:cs="黑体"/>
                <w:sz w:val="24"/>
              </w:rPr>
              <w:t>（万元）</w:t>
            </w:r>
          </w:p>
        </w:tc>
        <w:tc>
          <w:tcPr>
            <w:tcW w:w="1200" w:type="dxa"/>
            <w:vAlign w:val="center"/>
          </w:tcPr>
          <w:p w14:paraId="00669ADF">
            <w:pPr>
              <w:spacing w:line="600" w:lineRule="exact"/>
              <w:jc w:val="center"/>
              <w:rPr>
                <w:rFonts w:ascii="黑体" w:hAnsi="黑体" w:eastAsia="黑体" w:cs="黑体"/>
                <w:sz w:val="24"/>
              </w:rPr>
            </w:pPr>
            <w:r>
              <w:rPr>
                <w:rFonts w:hint="eastAsia" w:ascii="黑体" w:hAnsi="黑体" w:eastAsia="黑体" w:cs="黑体"/>
                <w:sz w:val="24"/>
              </w:rPr>
              <w:t>预算总价</w:t>
            </w:r>
          </w:p>
          <w:p w14:paraId="58EEB04F">
            <w:pPr>
              <w:spacing w:line="600" w:lineRule="exact"/>
              <w:jc w:val="center"/>
              <w:rPr>
                <w:rFonts w:ascii="黑体" w:hAnsi="黑体" w:eastAsia="黑体" w:cs="黑体"/>
                <w:sz w:val="24"/>
              </w:rPr>
            </w:pPr>
            <w:r>
              <w:rPr>
                <w:rFonts w:hint="eastAsia" w:ascii="黑体" w:hAnsi="黑体" w:eastAsia="黑体" w:cs="黑体"/>
                <w:sz w:val="24"/>
              </w:rPr>
              <w:t>（万元）</w:t>
            </w:r>
          </w:p>
        </w:tc>
        <w:tc>
          <w:tcPr>
            <w:tcW w:w="1290" w:type="dxa"/>
            <w:vAlign w:val="center"/>
          </w:tcPr>
          <w:p w14:paraId="2E3164E0">
            <w:pPr>
              <w:spacing w:line="600" w:lineRule="exact"/>
              <w:jc w:val="center"/>
              <w:rPr>
                <w:rFonts w:ascii="黑体" w:hAnsi="黑体" w:eastAsia="黑体" w:cs="黑体"/>
                <w:sz w:val="24"/>
              </w:rPr>
            </w:pPr>
            <w:r>
              <w:rPr>
                <w:rFonts w:hint="eastAsia" w:ascii="黑体" w:hAnsi="黑体" w:eastAsia="黑体" w:cs="黑体"/>
                <w:sz w:val="24"/>
              </w:rPr>
              <w:t>采购方式</w:t>
            </w:r>
          </w:p>
        </w:tc>
        <w:tc>
          <w:tcPr>
            <w:tcW w:w="1466" w:type="dxa"/>
            <w:vAlign w:val="center"/>
          </w:tcPr>
          <w:p w14:paraId="2D7575A4">
            <w:pPr>
              <w:spacing w:line="600" w:lineRule="exact"/>
              <w:jc w:val="center"/>
              <w:rPr>
                <w:rFonts w:ascii="黑体" w:hAnsi="黑体" w:eastAsia="黑体" w:cs="黑体"/>
                <w:sz w:val="24"/>
              </w:rPr>
            </w:pPr>
            <w:r>
              <w:rPr>
                <w:rFonts w:hint="eastAsia" w:ascii="黑体" w:hAnsi="黑体" w:eastAsia="黑体" w:cs="黑体"/>
                <w:sz w:val="24"/>
              </w:rPr>
              <w:t>备注</w:t>
            </w:r>
          </w:p>
        </w:tc>
      </w:tr>
      <w:tr w14:paraId="2B25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453D0EC">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740" w:type="dxa"/>
            <w:vAlign w:val="center"/>
          </w:tcPr>
          <w:p w14:paraId="29C69F66">
            <w:pPr>
              <w:spacing w:line="600" w:lineRule="exact"/>
              <w:jc w:val="center"/>
              <w:rPr>
                <w:rFonts w:ascii="仿宋_GB2312" w:hAnsi="仿宋_GB2312" w:eastAsia="仿宋_GB2312" w:cs="仿宋_GB2312"/>
                <w:sz w:val="24"/>
              </w:rPr>
            </w:pPr>
            <w:r>
              <w:rPr>
                <w:rFonts w:hint="eastAsia" w:ascii="仿宋" w:hAnsi="仿宋" w:eastAsia="仿宋"/>
                <w:sz w:val="28"/>
                <w:szCs w:val="28"/>
              </w:rPr>
              <w:t>直线加速器保修采购</w:t>
            </w:r>
          </w:p>
        </w:tc>
        <w:tc>
          <w:tcPr>
            <w:tcW w:w="1215" w:type="dxa"/>
            <w:vAlign w:val="center"/>
          </w:tcPr>
          <w:p w14:paraId="032ED1D9">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肿瘤三病区</w:t>
            </w:r>
          </w:p>
        </w:tc>
        <w:tc>
          <w:tcPr>
            <w:tcW w:w="1080" w:type="dxa"/>
            <w:vAlign w:val="center"/>
          </w:tcPr>
          <w:p w14:paraId="3FEEC8C6">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35" w:type="dxa"/>
            <w:vAlign w:val="center"/>
          </w:tcPr>
          <w:p w14:paraId="0E0D55A3">
            <w:pPr>
              <w:spacing w:line="6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43</w:t>
            </w:r>
          </w:p>
        </w:tc>
        <w:tc>
          <w:tcPr>
            <w:tcW w:w="1200" w:type="dxa"/>
            <w:vAlign w:val="center"/>
          </w:tcPr>
          <w:p w14:paraId="2A046A44">
            <w:pPr>
              <w:spacing w:line="6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43</w:t>
            </w:r>
          </w:p>
        </w:tc>
        <w:tc>
          <w:tcPr>
            <w:tcW w:w="1290" w:type="dxa"/>
            <w:vAlign w:val="center"/>
          </w:tcPr>
          <w:p w14:paraId="3CB3ACCD">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单一来源</w:t>
            </w:r>
          </w:p>
        </w:tc>
        <w:tc>
          <w:tcPr>
            <w:tcW w:w="1466" w:type="dxa"/>
            <w:vAlign w:val="center"/>
          </w:tcPr>
          <w:p w14:paraId="5B59E21B">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第一次公示</w:t>
            </w:r>
          </w:p>
        </w:tc>
      </w:tr>
    </w:tbl>
    <w:p w14:paraId="740C598F">
      <w:pPr>
        <w:rPr>
          <w:rFonts w:ascii="宋体" w:hAnsi="宋体" w:eastAsia="宋体" w:cs="宋体"/>
          <w:color w:val="222222"/>
          <w:sz w:val="24"/>
          <w:shd w:val="clear" w:color="auto" w:fill="FFFFFF"/>
        </w:rPr>
      </w:pPr>
    </w:p>
    <w:p w14:paraId="3ABD1EDD">
      <w:pPr>
        <w:ind w:firstLine="480" w:firstLineChars="200"/>
        <w:rPr>
          <w:rFonts w:ascii="宋体" w:hAnsi="宋体" w:eastAsia="宋体" w:cs="宋体"/>
          <w:color w:val="222222"/>
          <w:sz w:val="24"/>
          <w:shd w:val="clear" w:color="auto" w:fill="FFFFFF"/>
        </w:rPr>
      </w:pPr>
    </w:p>
    <w:p w14:paraId="6D9A5C84">
      <w:pPr>
        <w:ind w:firstLine="640" w:firstLineChars="200"/>
        <w:rPr>
          <w:rFonts w:ascii="黑体" w:hAnsi="黑体" w:eastAsia="黑体" w:cs="黑体"/>
          <w:sz w:val="32"/>
          <w:szCs w:val="32"/>
        </w:rPr>
      </w:pPr>
      <w:r>
        <w:rPr>
          <w:rFonts w:hint="eastAsia" w:ascii="黑体" w:hAnsi="黑体" w:eastAsia="黑体" w:cs="黑体"/>
          <w:sz w:val="32"/>
          <w:szCs w:val="32"/>
        </w:rPr>
        <w:t>二、资格要求</w:t>
      </w:r>
    </w:p>
    <w:p w14:paraId="03D0684C">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（一）满足《中华人民共和国政府采购法》第二十二条规定。</w:t>
      </w:r>
    </w:p>
    <w:p w14:paraId="423C51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40C640A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43FFB4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1CEE14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4FCE5F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466CBC7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5565101C">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（二）本项目不允许联合体投标。</w:t>
      </w:r>
    </w:p>
    <w:p w14:paraId="79C94131">
      <w:pPr>
        <w:pStyle w:val="2"/>
      </w:pPr>
    </w:p>
    <w:p w14:paraId="59448096">
      <w:pPr>
        <w:ind w:firstLine="640" w:firstLineChars="200"/>
        <w:rPr>
          <w:rFonts w:ascii="黑体" w:hAnsi="黑体" w:eastAsia="黑体" w:cs="黑体"/>
          <w:sz w:val="32"/>
          <w:szCs w:val="32"/>
        </w:rPr>
      </w:pPr>
      <w:r>
        <w:rPr>
          <w:rFonts w:hint="eastAsia" w:ascii="黑体" w:hAnsi="黑体" w:eastAsia="黑体" w:cs="黑体"/>
          <w:sz w:val="32"/>
          <w:szCs w:val="32"/>
        </w:rPr>
        <w:t>三、商务要求</w:t>
      </w:r>
    </w:p>
    <w:p w14:paraId="6E4E1073">
      <w:pPr>
        <w:ind w:firstLine="640" w:firstLineChars="200"/>
        <w:rPr>
          <w:rFonts w:ascii="仿宋_GB2312" w:hAnsi="仿宋_GB2312" w:eastAsia="仿宋_GB2312" w:cs="仿宋_GB2312"/>
          <w:color w:val="FF0000"/>
          <w:sz w:val="32"/>
          <w:szCs w:val="32"/>
        </w:rPr>
      </w:pPr>
      <w:bookmarkStart w:id="2" w:name="OLE_LINK14"/>
      <w:bookmarkStart w:id="3" w:name="OLE_LINK13"/>
      <w:bookmarkStart w:id="4" w:name="OLE_LINK15"/>
      <w:bookmarkStart w:id="5" w:name="OLE_LINK10"/>
      <w:bookmarkStart w:id="6" w:name="OLE_LINK7"/>
      <w:bookmarkStart w:id="7" w:name="OLE_LINK8"/>
      <w:r>
        <w:rPr>
          <w:rFonts w:hint="eastAsia" w:ascii="仿宋_GB2312" w:hAnsi="仿宋_GB2312" w:eastAsia="仿宋_GB2312" w:cs="仿宋_GB2312"/>
          <w:color w:val="FF0000"/>
          <w:sz w:val="32"/>
          <w:szCs w:val="32"/>
        </w:rPr>
        <w:t>1、设备全年开机率大于95%（全年按365天计算），如超期停机，则乙方需延长相等的保修时间。</w:t>
      </w:r>
    </w:p>
    <w:bookmarkEnd w:id="2"/>
    <w:bookmarkEnd w:id="3"/>
    <w:bookmarkEnd w:id="4"/>
    <w:p w14:paraId="729D50DA">
      <w:pPr>
        <w:ind w:firstLine="640" w:firstLineChars="200"/>
        <w:rPr>
          <w:rFonts w:ascii="仿宋_GB2312" w:hAnsi="仿宋_GB2312" w:eastAsia="仿宋_GB2312" w:cs="仿宋_GB2312"/>
          <w:color w:val="FF0000"/>
          <w:sz w:val="32"/>
          <w:szCs w:val="32"/>
        </w:rPr>
      </w:pPr>
      <w:bookmarkStart w:id="8" w:name="OLE_LINK11"/>
      <w:bookmarkStart w:id="9" w:name="OLE_LINK12"/>
      <w:r>
        <w:rPr>
          <w:rFonts w:hint="eastAsia" w:ascii="仿宋_GB2312" w:hAnsi="仿宋_GB2312" w:eastAsia="仿宋_GB2312" w:cs="仿宋_GB2312"/>
          <w:color w:val="FF0000"/>
          <w:sz w:val="32"/>
          <w:szCs w:val="32"/>
        </w:rPr>
        <w:t>2、付款方式：</w:t>
      </w:r>
    </w:p>
    <w:p w14:paraId="13C0BB23">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合同签订后30个工作日内支付全款的30%，维保半年后再支付全款的40%，保修期结束前验收合格后30个工作日内支付剩余全款的30%。</w:t>
      </w:r>
    </w:p>
    <w:bookmarkEnd w:id="5"/>
    <w:bookmarkEnd w:id="8"/>
    <w:bookmarkEnd w:id="9"/>
    <w:p w14:paraId="6C4E1684">
      <w:pPr>
        <w:pStyle w:val="2"/>
      </w:pPr>
    </w:p>
    <w:bookmarkEnd w:id="6"/>
    <w:bookmarkEnd w:id="7"/>
    <w:p w14:paraId="5649B5C7">
      <w:pPr>
        <w:ind w:firstLine="640" w:firstLineChars="200"/>
        <w:rPr>
          <w:rFonts w:ascii="黑体" w:hAnsi="黑体" w:eastAsia="黑体" w:cs="黑体"/>
          <w:sz w:val="32"/>
          <w:szCs w:val="32"/>
        </w:rPr>
      </w:pPr>
      <w:r>
        <w:rPr>
          <w:rFonts w:hint="eastAsia" w:ascii="黑体" w:hAnsi="黑体" w:eastAsia="黑体" w:cs="黑体"/>
          <w:sz w:val="32"/>
          <w:szCs w:val="32"/>
        </w:rPr>
        <w:t>四、其他要求</w:t>
      </w:r>
    </w:p>
    <w:p w14:paraId="752CCF4B">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满足条件的潜在供应商标书内应提供以下资料扫描件（必须加盖公章，如缺少其中一项则取消参评资格）。</w:t>
      </w:r>
    </w:p>
    <w:p w14:paraId="3120F6CE">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1.报价明细。本项目潜在供应商报价不能超过采购预算金额，超过预算金额视为无效报价。</w:t>
      </w:r>
    </w:p>
    <w:p w14:paraId="5EF3D99E">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2.潜在供应商需提供投标资料承诺书，保证投标资料真实性、有效性。</w:t>
      </w:r>
    </w:p>
    <w:p w14:paraId="64DA8A2F">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3.根据实际情况勾选《大庆市人民医院采购供应商资格承诺函》并签字盖章，详见附件。</w:t>
      </w:r>
    </w:p>
    <w:p w14:paraId="0709F7A0">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4.售后服务承诺书及质量保证协议。</w:t>
      </w:r>
    </w:p>
    <w:p w14:paraId="6B0A4957">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5.提供近三年内（本项目投标截止期前）①未被“信用中国网站”列入失信被执行人、重大税收违法案件当事人名单的；②未被“中国政府采购网”列入政府采购严重违法失信行为记录名单（处罚期限尚未届满的）的证明。</w:t>
      </w:r>
    </w:p>
    <w:p w14:paraId="12B5EB2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6.社保经办机构出具的</w:t>
      </w:r>
      <w:r>
        <w:rPr>
          <w:rFonts w:ascii="Times New Roman" w:hAnsi="Times New Roman" w:eastAsia="仿宋_GB2312" w:cs="Times New Roman"/>
          <w:sz w:val="32"/>
          <w:szCs w:val="32"/>
        </w:rPr>
        <w:t>本单位职工</w:t>
      </w:r>
      <w:r>
        <w:rPr>
          <w:rFonts w:hint="eastAsia" w:ascii="仿宋_GB2312" w:hAnsi="仿宋_GB2312" w:eastAsia="仿宋_GB2312" w:cs="仿宋_GB2312"/>
          <w:sz w:val="32"/>
          <w:szCs w:val="32"/>
        </w:rPr>
        <w:t xml:space="preserve">社会保障资金缴纳证明。 </w:t>
      </w:r>
    </w:p>
    <w:p w14:paraId="3C9D28E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（1）基本养老保险缴纳证明或基本养老保险缴费清单。</w:t>
      </w:r>
    </w:p>
    <w:p w14:paraId="7963A52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（2）基本医疗保险缴纳证明或基本医疗保险缴费清单。</w:t>
      </w:r>
    </w:p>
    <w:p w14:paraId="6ED40216">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工伤保险缴纳证明或工伤保险缴费清单。</w:t>
      </w:r>
    </w:p>
    <w:p w14:paraId="6EE77372">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失业保险缴纳证明或失业保险缴费清单。</w:t>
      </w:r>
    </w:p>
    <w:p w14:paraId="0CE9AA40">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生育保险缴纳证明或生育保险缴费清单。</w:t>
      </w:r>
    </w:p>
    <w:p w14:paraId="277F93C4">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新成立的企业（三个月内成立的）或在法规范围内不需提</w:t>
      </w:r>
      <w:r>
        <w:rPr>
          <w:rFonts w:hint="eastAsia" w:ascii="Times New Roman" w:hAnsi="Times New Roman" w:eastAsia="仿宋_GB2312" w:cs="Times New Roman"/>
          <w:sz w:val="32"/>
          <w:szCs w:val="32"/>
        </w:rPr>
        <w:t>供的机构，应提供书面说明和有关佐证文件。</w:t>
      </w:r>
    </w:p>
    <w:p w14:paraId="52442B0D">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279F5EA2">
      <w:pPr>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税务部门出具的佐证文件（如完税证明）不作为有效资格条件。</w:t>
      </w:r>
    </w:p>
    <w:p w14:paraId="4AAA3C57">
      <w:pPr>
        <w:ind w:firstLine="640" w:firstLineChars="200"/>
        <w:rPr>
          <w:rFonts w:ascii="黑体" w:hAnsi="黑体" w:eastAsia="黑体" w:cs="黑体"/>
          <w:sz w:val="32"/>
          <w:szCs w:val="32"/>
        </w:rPr>
      </w:pPr>
      <w:r>
        <w:rPr>
          <w:rFonts w:hint="eastAsia" w:ascii="黑体" w:hAnsi="黑体" w:eastAsia="黑体" w:cs="黑体"/>
          <w:sz w:val="32"/>
          <w:szCs w:val="32"/>
        </w:rPr>
        <w:t>五、投标文件要求</w:t>
      </w:r>
    </w:p>
    <w:p w14:paraId="2C049A4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（一）标书要求：一本正本、三本副本均加盖公章，装订方式为胶装。</w:t>
      </w:r>
    </w:p>
    <w:p w14:paraId="20F170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（二）参与两项或以上采购项目投标的需各项目独立做标书。</w:t>
      </w:r>
    </w:p>
    <w:p w14:paraId="1EAEFC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（三）标书封面须有以下内容：</w:t>
      </w:r>
    </w:p>
    <w:p w14:paraId="22A2E3C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1.正本或副本标识；</w:t>
      </w:r>
    </w:p>
    <w:p w14:paraId="58D81D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2.投标项目名称及项目编号；</w:t>
      </w:r>
    </w:p>
    <w:p w14:paraId="2DB5505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3.投标单位名称；</w:t>
      </w:r>
    </w:p>
    <w:p w14:paraId="48B04B7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3.投标公司联系人及联系方式；</w:t>
      </w:r>
    </w:p>
    <w:p w14:paraId="73E883A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5.投标日期。</w:t>
      </w:r>
    </w:p>
    <w:p w14:paraId="12B459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（四）标书内需含目录并与页码相对应。</w:t>
      </w:r>
    </w:p>
    <w:p w14:paraId="32693C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（五）投标文件需进行密封，开标现场递交。投标文件一律不退，请投标方自留底稿。</w:t>
      </w:r>
    </w:p>
    <w:p w14:paraId="69D26C7E">
      <w:pPr>
        <w:ind w:firstLine="640" w:firstLineChars="200"/>
        <w:rPr>
          <w:rFonts w:ascii="黑体" w:hAnsi="黑体" w:eastAsia="黑体" w:cs="黑体"/>
          <w:sz w:val="32"/>
          <w:szCs w:val="32"/>
        </w:rPr>
      </w:pPr>
      <w:r>
        <w:rPr>
          <w:rFonts w:hint="eastAsia" w:ascii="黑体" w:hAnsi="黑体" w:eastAsia="黑体" w:cs="黑体"/>
          <w:sz w:val="32"/>
          <w:szCs w:val="32"/>
        </w:rPr>
        <w:t>六、报名须知</w:t>
      </w:r>
    </w:p>
    <w:p w14:paraId="1B32B2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w:t>
      </w:r>
      <w:r>
        <w:rPr>
          <w:rFonts w:hint="eastAsia" w:ascii="仿宋_GB2312" w:hAnsi="仿宋_GB2312" w:eastAsia="仿宋_GB2312" w:cs="仿宋_GB2312"/>
          <w:color w:val="FF0000"/>
          <w:sz w:val="32"/>
          <w:szCs w:val="32"/>
        </w:rPr>
        <w:t>2024年12月</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日起至2024年12月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w:t>
      </w:r>
    </w:p>
    <w:p w14:paraId="6994908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（二）开标时间及地点：</w:t>
      </w:r>
      <w:r>
        <w:rPr>
          <w:rFonts w:hint="eastAsia" w:ascii="仿宋_GB2312" w:hAnsi="仿宋_GB2312" w:eastAsia="仿宋_GB2312" w:cs="仿宋_GB2312"/>
          <w:color w:val="FF0000"/>
          <w:sz w:val="32"/>
          <w:szCs w:val="32"/>
          <w:lang w:val="en-US" w:eastAsia="zh-CN"/>
        </w:rPr>
        <w:t>12月27日13:30，门诊四楼多功能厅。</w:t>
      </w:r>
    </w:p>
    <w:p w14:paraId="1FD0A0B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（三）投标代表（法人或法人授权人）请在开标时间前半小时携带身份证到达会场签到（签到时查验身份证件）。</w:t>
      </w:r>
    </w:p>
    <w:p w14:paraId="543DB2D1">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（四）联系电话：</w:t>
      </w:r>
      <w:r>
        <w:rPr>
          <w:rFonts w:hint="eastAsia" w:ascii="仿宋_GB2312" w:hAnsi="仿宋_GB2312" w:eastAsia="仿宋_GB2312" w:cs="仿宋_GB2312"/>
          <w:color w:val="FF0000"/>
          <w:sz w:val="32"/>
          <w:szCs w:val="32"/>
        </w:rPr>
        <w:t>0459-6612937</w:t>
      </w:r>
    </w:p>
    <w:p w14:paraId="1D3E015D">
      <w:pPr>
        <w:ind w:firstLine="640" w:firstLineChars="200"/>
        <w:rPr>
          <w:rFonts w:ascii="仿宋_GB2312" w:hAnsi="仿宋_GB2312" w:eastAsia="仿宋_GB2312" w:cs="仿宋_GB2312"/>
          <w:sz w:val="32"/>
          <w:szCs w:val="32"/>
        </w:rPr>
      </w:pPr>
    </w:p>
    <w:p w14:paraId="604A86B9">
      <w:pPr>
        <w:pStyle w:val="2"/>
      </w:pPr>
    </w:p>
    <w:p w14:paraId="3CE9367B">
      <w:pPr>
        <w:pStyle w:val="2"/>
      </w:pPr>
    </w:p>
    <w:p w14:paraId="053E8B2A">
      <w:pPr>
        <w:pStyle w:val="2"/>
      </w:pPr>
    </w:p>
    <w:p w14:paraId="1D261894">
      <w:pPr>
        <w:pStyle w:val="3"/>
        <w:jc w:val="center"/>
        <w:rPr>
          <w:kern w:val="2"/>
        </w:rPr>
      </w:pPr>
      <w:r>
        <w:rPr>
          <w:rFonts w:hint="eastAsia"/>
          <w:kern w:val="2"/>
        </w:rPr>
        <w:t>技术服务要求</w:t>
      </w:r>
    </w:p>
    <w:p w14:paraId="3F496110">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1、入保范围:瓦里安 Unique 加速器壹台。</w:t>
      </w:r>
    </w:p>
    <w:p w14:paraId="3FF4A79E">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2、维保内容:整机设备的的全保维修(全部原厂全新零件+人工服务)，包含:速调管、加速管、偏转磁铁、电子枪、靶等核心备件。</w:t>
      </w:r>
    </w:p>
    <w:p w14:paraId="0E875627">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3、在保修服务期内每年提供不少于1次的加速器、MLC 和网络的按照厂家标准规定的保养，并出具保养报告。 </w:t>
      </w:r>
    </w:p>
    <w:p w14:paraId="5406B37A">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4、在保修服务期内免费提供设备的软硬件安全升级，免费提供设备的系统软件 升级补丁和技术支持，以提高设备的安全性和性能，并提供所有升级资料和记录。</w:t>
      </w:r>
    </w:p>
    <w:p w14:paraId="7B2A42D7">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5、对医院的维修需求，2 小时内迅速响应，48 小时内到达现场。提供包含工作日以及非工作日的标准工时或非标准工时所涵盖的设备提供现场服务支持。</w:t>
      </w:r>
    </w:p>
    <w:p w14:paraId="700551A4">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6、本项目的维保服务包含辅助加速器运行的非瓦里安公司的周边设备保修， 如:稳压电源，空气压缩机，水冷机。 </w:t>
      </w:r>
    </w:p>
    <w:p w14:paraId="20DEB823">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7、甲方可以拨打 400-8100-108，800-8100-108 服务热线，获得在线技术支持。 </w:t>
      </w:r>
    </w:p>
    <w:p w14:paraId="0A0D4A32">
      <w:pPr>
        <w:pStyle w:val="2"/>
        <w:ind w:firstLine="214" w:firstLineChars="6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8、投标人具有原厂资质或原厂授权的售后服务经销商协议。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5A11A3"/>
    <w:rsid w:val="000979A9"/>
    <w:rsid w:val="001570B1"/>
    <w:rsid w:val="00196C06"/>
    <w:rsid w:val="002F0AEB"/>
    <w:rsid w:val="003C3246"/>
    <w:rsid w:val="0042301F"/>
    <w:rsid w:val="004517ED"/>
    <w:rsid w:val="004D468D"/>
    <w:rsid w:val="005214EA"/>
    <w:rsid w:val="005830D6"/>
    <w:rsid w:val="00593150"/>
    <w:rsid w:val="005A11A3"/>
    <w:rsid w:val="005E2000"/>
    <w:rsid w:val="0065719E"/>
    <w:rsid w:val="00672E38"/>
    <w:rsid w:val="00676BA5"/>
    <w:rsid w:val="00684A25"/>
    <w:rsid w:val="006F40EC"/>
    <w:rsid w:val="0079241A"/>
    <w:rsid w:val="00870D0A"/>
    <w:rsid w:val="00A22CBF"/>
    <w:rsid w:val="00B47C12"/>
    <w:rsid w:val="00BC0D00"/>
    <w:rsid w:val="00CB5EE7"/>
    <w:rsid w:val="00D22CF3"/>
    <w:rsid w:val="00D655C8"/>
    <w:rsid w:val="00DD5227"/>
    <w:rsid w:val="00EE6853"/>
    <w:rsid w:val="00F002EC"/>
    <w:rsid w:val="00F75766"/>
    <w:rsid w:val="0D7A11E1"/>
    <w:rsid w:val="12DB7938"/>
    <w:rsid w:val="1B776BE0"/>
    <w:rsid w:val="20783067"/>
    <w:rsid w:val="27781B9E"/>
    <w:rsid w:val="30751371"/>
    <w:rsid w:val="3D5B796E"/>
    <w:rsid w:val="4EEC05F8"/>
    <w:rsid w:val="6B264A3A"/>
    <w:rsid w:val="71945A0B"/>
    <w:rsid w:val="7F3B3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customStyle="1" w:styleId="13">
    <w:name w:val="Table Paragraph"/>
    <w:basedOn w:val="1"/>
    <w:qFormat/>
    <w:uiPriority w:val="1"/>
    <w:rPr>
      <w:rFonts w:ascii="宋体" w:hAnsi="宋体" w:eastAsia="宋体" w:cs="宋体"/>
      <w:lang w:val="zh-CN" w:bidi="zh-CN"/>
    </w:rPr>
  </w:style>
  <w:style w:type="character" w:customStyle="1" w:styleId="14">
    <w:name w:val="页眉 Char"/>
    <w:basedOn w:val="11"/>
    <w:link w:val="8"/>
    <w:uiPriority w:val="0"/>
    <w:rPr>
      <w:rFonts w:asciiTheme="minorHAnsi" w:hAnsiTheme="minorHAnsi" w:eastAsiaTheme="minorEastAsia" w:cstheme="minorBidi"/>
      <w:kern w:val="2"/>
      <w:sz w:val="18"/>
      <w:szCs w:val="18"/>
    </w:rPr>
  </w:style>
  <w:style w:type="character" w:customStyle="1" w:styleId="15">
    <w:name w:val="页脚 Char"/>
    <w:basedOn w:val="11"/>
    <w:link w:val="7"/>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paragraph" w:customStyle="1" w:styleId="17">
    <w:name w:val="样式3"/>
    <w:basedOn w:val="6"/>
    <w:qFormat/>
    <w:uiPriority w:val="0"/>
    <w:pPr>
      <w:spacing w:line="240" w:lineRule="atLeast"/>
      <w:outlineLvl w:val="0"/>
    </w:pPr>
    <w:rPr>
      <w:rFonts w:cs="Times New Roman"/>
      <w:sz w:val="28"/>
      <w:szCs w:val="20"/>
    </w:rPr>
  </w:style>
  <w:style w:type="character" w:customStyle="1" w:styleId="18">
    <w:name w:val="纯文本 Char"/>
    <w:basedOn w:val="11"/>
    <w:link w:val="6"/>
    <w:uiPriority w:val="0"/>
    <w:rPr>
      <w:rFonts w:ascii="宋体" w:hAnsi="Courier New" w:cs="Courier New"/>
      <w:kern w:val="2"/>
      <w:sz w:val="21"/>
      <w:szCs w:val="21"/>
    </w:rPr>
  </w:style>
  <w:style w:type="character" w:customStyle="1" w:styleId="19">
    <w:name w:val="标题 1 Char"/>
    <w:basedOn w:val="11"/>
    <w:link w:val="3"/>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1745</Words>
  <Characters>1835</Characters>
  <Lines>13</Lines>
  <Paragraphs>3</Paragraphs>
  <TotalTime>0</TotalTime>
  <ScaleCrop>false</ScaleCrop>
  <LinksUpToDate>false</LinksUpToDate>
  <CharactersWithSpaces>1855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Administrator</cp:lastModifiedBy>
  <cp:lastPrinted>2024-11-19T06:29:00Z</cp:lastPrinted>
  <dcterms:modified xsi:type="dcterms:W3CDTF">2024-12-17T05:15:24Z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9FFC687C51B541FE813D6749E553FD29_12</vt:lpwstr>
  </property>
</Properties>
</file>