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大庆市人民医院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2025年(第4次)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应急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维修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室内外漏水管线抢修、电力故障抢修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、限时整改项目及必要的时效性维修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维修项目5日，抢修项目3日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下浮率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本报价单包含规费税费等，最终结算价格以工程结算审核价格为准，本报价单仅适用于本工程，不允许用于其他项目。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34FF4BEA"/>
    <w:rsid w:val="516C1FD9"/>
    <w:rsid w:val="53DA2812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2025-04-27T02:07:18Z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349A1C131D6C4508A285E429D4203DA0</vt:lpwstr>
  </property>
</Properties>
</file>