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2025年（第4次）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（2025）YJWX004</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2025年（第4次）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2025年（第4次）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（2025）YJWX004</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截止到2025年4月29日上午10：00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报名文件：供应商资质证书及安全生产许可证复印件加盖公章、项目经理执业资格证书及安全生产考核证书、工程项目报价表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将报名文件送至基建维修科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至2025年4月29日10:00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2025年（第4次）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6">
    <w:nsid w:val="7F221B53"/>
    <w:multiLevelType w:val="singleLevel"/>
    <w:tmpl w:val="7F221B53"/>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AA3DD7"/>
    <w:rsid w:val="0FC1316D"/>
    <w:rsid w:val="160074F4"/>
    <w:rsid w:val="1922124B"/>
    <w:rsid w:val="252164CC"/>
    <w:rsid w:val="28CE656F"/>
    <w:rsid w:val="348B0A3D"/>
    <w:rsid w:val="475F4D15"/>
    <w:rsid w:val="484619CC"/>
    <w:rsid w:val="499A0771"/>
    <w:rsid w:val="4C275F88"/>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5</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2025-04-27T02:06:47Z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083D35804DC342F38B3AEB0177397979</vt:lpwstr>
  </property>
</Properties>
</file>