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65D02">
      <w:pPr>
        <w:ind w:firstLine="3030" w:firstLineChars="1000"/>
        <w:rPr>
          <w:rFonts w:hint="eastAsia" w:ascii="宋体" w:hAnsi="宋体" w:eastAsia="宋体" w:cs="宋体"/>
          <w:w w:val="101"/>
          <w:kern w:val="2"/>
          <w:sz w:val="30"/>
          <w:szCs w:val="30"/>
          <w:highlight w:val="none"/>
          <w:lang w:val="en-US" w:eastAsia="zh-CN" w:bidi="zh-CN"/>
        </w:rPr>
      </w:pPr>
      <w:bookmarkStart w:id="0" w:name="_GoBack"/>
      <w:bookmarkEnd w:id="0"/>
      <w:r>
        <w:rPr>
          <w:rFonts w:hint="eastAsia" w:ascii="宋体" w:hAnsi="宋体" w:eastAsia="宋体" w:cs="宋体"/>
          <w:w w:val="101"/>
          <w:kern w:val="2"/>
          <w:sz w:val="30"/>
          <w:szCs w:val="30"/>
          <w:highlight w:val="none"/>
          <w:lang w:val="en-US" w:eastAsia="zh-CN" w:bidi="zh-CN"/>
        </w:rPr>
        <w:t>功能及技术参数</w:t>
      </w:r>
    </w:p>
    <w:p w14:paraId="346A4D93">
      <w:pPr>
        <w:pStyle w:val="6"/>
        <w:spacing w:line="360" w:lineRule="auto"/>
        <w:rPr>
          <w:rFonts w:hint="eastAsia"/>
          <w:w w:val="101"/>
          <w:sz w:val="24"/>
          <w:szCs w:val="24"/>
          <w:highlight w:val="none"/>
          <w:lang w:val="en-US"/>
        </w:rPr>
      </w:pPr>
      <w:r>
        <w:rPr>
          <w:rFonts w:hint="eastAsia"/>
          <w:w w:val="101"/>
          <w:sz w:val="24"/>
          <w:szCs w:val="24"/>
          <w:highlight w:val="none"/>
          <w:lang w:val="en-US" w:eastAsia="zh-CN"/>
        </w:rPr>
        <w:t>1.</w:t>
      </w:r>
      <w:r>
        <w:rPr>
          <w:rFonts w:hint="eastAsia"/>
          <w:w w:val="101"/>
          <w:sz w:val="24"/>
          <w:szCs w:val="24"/>
          <w:highlight w:val="none"/>
        </w:rPr>
        <w:t>需</w:t>
      </w:r>
      <w:r>
        <w:rPr>
          <w:rFonts w:hint="eastAsia"/>
          <w:w w:val="101"/>
          <w:sz w:val="24"/>
          <w:szCs w:val="24"/>
          <w:highlight w:val="none"/>
          <w:lang w:val="en-US"/>
        </w:rPr>
        <w:t>严格依据《GB/T22239-2019信息安全技术网络安全等级保护基本要求》为单位开展基于等保2.0的等保测评工作；对</w:t>
      </w:r>
      <w:r>
        <w:rPr>
          <w:rFonts w:hint="eastAsia"/>
          <w:w w:val="101"/>
          <w:sz w:val="24"/>
          <w:szCs w:val="24"/>
          <w:highlight w:val="none"/>
          <w:lang w:val="en-US" w:eastAsia="zh-CN"/>
        </w:rPr>
        <w:t>两套</w:t>
      </w:r>
      <w:r>
        <w:rPr>
          <w:rFonts w:hint="eastAsia"/>
          <w:w w:val="101"/>
          <w:sz w:val="24"/>
          <w:szCs w:val="24"/>
          <w:highlight w:val="none"/>
          <w:lang w:val="en-US"/>
        </w:rPr>
        <w:t>三级</w:t>
      </w:r>
      <w:r>
        <w:rPr>
          <w:rFonts w:hint="eastAsia"/>
          <w:w w:val="101"/>
          <w:sz w:val="24"/>
          <w:szCs w:val="24"/>
          <w:highlight w:val="none"/>
          <w:lang w:val="en-US" w:eastAsia="zh-CN"/>
        </w:rPr>
        <w:t>信息系统</w:t>
      </w:r>
      <w:r>
        <w:rPr>
          <w:rFonts w:hint="eastAsia"/>
          <w:w w:val="101"/>
          <w:sz w:val="24"/>
          <w:szCs w:val="24"/>
          <w:highlight w:val="none"/>
          <w:lang w:val="en-US"/>
        </w:rPr>
        <w:t>进行等保测评，并出具《测评报告》。</w:t>
      </w:r>
    </w:p>
    <w:p w14:paraId="1288111E">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95"/>
          <w:sz w:val="24"/>
          <w:szCs w:val="24"/>
        </w:rPr>
        <w:t>★</w:t>
      </w:r>
      <w:r>
        <w:rPr>
          <w:rFonts w:hint="eastAsia"/>
          <w:w w:val="110"/>
          <w:sz w:val="24"/>
          <w:szCs w:val="24"/>
          <w:highlight w:val="none"/>
          <w:lang w:val="en-US" w:eastAsia="zh-CN"/>
        </w:rPr>
        <w:t>2.</w:t>
      </w:r>
      <w:r>
        <w:rPr>
          <w:rFonts w:hint="eastAsia"/>
          <w:w w:val="110"/>
          <w:sz w:val="24"/>
          <w:szCs w:val="24"/>
          <w:highlight w:val="none"/>
          <w:lang w:val="en-US"/>
        </w:rPr>
        <w:t>投标人</w:t>
      </w:r>
      <w:r>
        <w:rPr>
          <w:rFonts w:hint="eastAsia"/>
          <w:w w:val="110"/>
          <w:sz w:val="24"/>
          <w:szCs w:val="24"/>
          <w:highlight w:val="none"/>
          <w:lang w:val="en-US" w:eastAsia="zh-CN"/>
        </w:rPr>
        <w:t>需取得测评机构授权，测评机构需具有公安部第三研究所颁发的《网络安全服务认证证书等级保护测评服务认证》证书</w:t>
      </w:r>
      <w:r>
        <w:rPr>
          <w:rFonts w:hint="eastAsia"/>
          <w:w w:val="110"/>
          <w:sz w:val="24"/>
          <w:szCs w:val="24"/>
          <w:highlight w:val="none"/>
          <w:lang w:val="en-US"/>
        </w:rPr>
        <w:t>。</w:t>
      </w:r>
    </w:p>
    <w:p w14:paraId="7057DBBF">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95"/>
          <w:sz w:val="24"/>
          <w:szCs w:val="24"/>
        </w:rPr>
        <w:t>★</w:t>
      </w:r>
      <w:r>
        <w:rPr>
          <w:rFonts w:hint="eastAsia"/>
          <w:sz w:val="24"/>
          <w:szCs w:val="24"/>
          <w:highlight w:val="none"/>
          <w:lang w:val="en-US" w:eastAsia="zh-CN"/>
        </w:rPr>
        <w:t>3.</w:t>
      </w:r>
      <w:r>
        <w:rPr>
          <w:rFonts w:hint="eastAsia"/>
          <w:sz w:val="24"/>
          <w:szCs w:val="24"/>
          <w:highlight w:val="none"/>
          <w:lang w:val="en-US"/>
        </w:rPr>
        <w:t>为满足网络安全培训要求，</w:t>
      </w:r>
      <w:r>
        <w:rPr>
          <w:rFonts w:hint="eastAsia"/>
          <w:sz w:val="24"/>
          <w:szCs w:val="24"/>
          <w:highlight w:val="none"/>
          <w:lang w:val="en-US" w:eastAsia="zh-CN"/>
        </w:rPr>
        <w:t>测评机构</w:t>
      </w:r>
      <w:r>
        <w:rPr>
          <w:rFonts w:hint="eastAsia"/>
          <w:sz w:val="24"/>
          <w:szCs w:val="24"/>
          <w:highlight w:val="none"/>
          <w:lang w:val="en-US"/>
        </w:rPr>
        <w:t>需提供具备公安部信息安全等级保护评估中心颁发的重要信息系统安全等级保护培训证书，证书类别为CIIP-T</w:t>
      </w:r>
      <w:r>
        <w:rPr>
          <w:rFonts w:hint="eastAsia"/>
          <w:sz w:val="24"/>
          <w:szCs w:val="24"/>
          <w:highlight w:val="none"/>
          <w:lang w:val="en-US" w:eastAsia="zh-CN"/>
        </w:rPr>
        <w:t>，同时为保障培训效果，该名人员需具备人力资源和社会保障厅颁发的高级工程师证书，专业类别为电子测量。</w:t>
      </w:r>
    </w:p>
    <w:p w14:paraId="253D2F2E">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95"/>
          <w:sz w:val="24"/>
          <w:szCs w:val="24"/>
        </w:rPr>
        <w:t>★</w:t>
      </w:r>
      <w:r>
        <w:rPr>
          <w:rFonts w:hint="eastAsia"/>
          <w:w w:val="110"/>
          <w:sz w:val="24"/>
          <w:szCs w:val="24"/>
          <w:highlight w:val="none"/>
          <w:lang w:val="en-US" w:eastAsia="zh-CN"/>
        </w:rPr>
        <w:t>4.测评机构</w:t>
      </w:r>
      <w:r>
        <w:rPr>
          <w:rFonts w:hint="eastAsia"/>
          <w:w w:val="110"/>
          <w:sz w:val="24"/>
          <w:szCs w:val="24"/>
          <w:highlight w:val="none"/>
          <w:lang w:val="en-US"/>
        </w:rPr>
        <w:t>需具有中国信息安全测评中心颁发的国家信息安全漏洞库（CNNVD）技术支撑单位证书。</w:t>
      </w:r>
    </w:p>
    <w:p w14:paraId="4C79B920">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95"/>
          <w:sz w:val="24"/>
          <w:szCs w:val="24"/>
        </w:rPr>
        <w:t>★</w:t>
      </w:r>
      <w:r>
        <w:rPr>
          <w:rFonts w:hint="eastAsia"/>
          <w:color w:val="000000"/>
          <w:sz w:val="24"/>
          <w:szCs w:val="24"/>
          <w:highlight w:val="none"/>
          <w:lang w:val="en-US" w:eastAsia="zh-CN"/>
        </w:rPr>
        <w:t>5.</w:t>
      </w:r>
      <w:r>
        <w:rPr>
          <w:rFonts w:hint="eastAsia"/>
          <w:color w:val="000000"/>
          <w:sz w:val="24"/>
          <w:szCs w:val="24"/>
          <w:highlight w:val="none"/>
          <w:lang w:val="en-US"/>
        </w:rPr>
        <w:t>为确保测评机构的服务水平和综合素质，</w:t>
      </w:r>
      <w:r>
        <w:rPr>
          <w:rFonts w:hint="eastAsia"/>
          <w:color w:val="000000"/>
          <w:w w:val="110"/>
          <w:sz w:val="24"/>
          <w:szCs w:val="24"/>
          <w:highlight w:val="none"/>
          <w:lang w:val="en-US" w:eastAsia="zh-CN"/>
        </w:rPr>
        <w:t>测评机构</w:t>
      </w:r>
      <w:r>
        <w:rPr>
          <w:rFonts w:hint="eastAsia"/>
          <w:color w:val="000000"/>
          <w:sz w:val="24"/>
          <w:szCs w:val="24"/>
          <w:highlight w:val="none"/>
          <w:lang w:val="en-US"/>
        </w:rPr>
        <w:t>应从未被列入“网络安全等级保护网”（www.djbh.net）中中关村信息安全测评联盟或国家网络安全等级保护工作协调小组办公室发布的整改公告。</w:t>
      </w:r>
      <w:r>
        <w:rPr>
          <w:rFonts w:hint="eastAsia"/>
          <w:color w:val="000000"/>
          <w:w w:val="110"/>
          <w:sz w:val="24"/>
          <w:szCs w:val="24"/>
          <w:highlight w:val="none"/>
          <w:lang w:val="en-US"/>
        </w:rPr>
        <w:t>投标人</w:t>
      </w:r>
      <w:r>
        <w:rPr>
          <w:rFonts w:hint="eastAsia"/>
          <w:color w:val="000000"/>
          <w:sz w:val="24"/>
          <w:szCs w:val="24"/>
          <w:highlight w:val="none"/>
          <w:lang w:val="en-US"/>
        </w:rPr>
        <w:t>需提供上述承诺书，承诺书格式自拟。</w:t>
      </w:r>
    </w:p>
    <w:p w14:paraId="6FA1A90E">
      <w:pPr>
        <w:pStyle w:val="6"/>
        <w:spacing w:line="360" w:lineRule="auto"/>
        <w:rPr>
          <w:rFonts w:ascii="宋体" w:hAnsi="宋体" w:eastAsia="宋体" w:cs="宋体"/>
          <w:w w:val="110"/>
          <w:kern w:val="2"/>
          <w:sz w:val="24"/>
          <w:szCs w:val="24"/>
          <w:highlight w:val="none"/>
          <w:lang w:val="en-US" w:eastAsia="zh-CN" w:bidi="zh-CN"/>
        </w:rPr>
      </w:pPr>
      <w:r>
        <w:rPr>
          <w:rFonts w:hint="eastAsia"/>
          <w:w w:val="110"/>
          <w:sz w:val="24"/>
          <w:szCs w:val="24"/>
          <w:highlight w:val="none"/>
          <w:lang w:val="en-US" w:eastAsia="zh-CN"/>
        </w:rPr>
        <w:t>6.</w:t>
      </w:r>
      <w:r>
        <w:rPr>
          <w:w w:val="110"/>
          <w:sz w:val="24"/>
          <w:szCs w:val="24"/>
          <w:highlight w:val="none"/>
          <w:lang w:val="en-US"/>
        </w:rPr>
        <w:t>依据《信息安全技术 网络安全等级保护基本要求》，测评内容包括但不限于：安全物理环境、安全通信网络、安全区域边界、安全计算环境、安全管理中心、安全管理制度、安全管理机构、安全人员管理、安全建设管理、安全运维管理等十个层面开展测评工作。</w:t>
      </w:r>
    </w:p>
    <w:p w14:paraId="2234F00A">
      <w:pPr>
        <w:pStyle w:val="6"/>
        <w:spacing w:line="360" w:lineRule="auto"/>
        <w:rPr>
          <w:rFonts w:ascii="宋体" w:hAnsi="宋体" w:eastAsia="宋体" w:cs="宋体"/>
          <w:kern w:val="2"/>
          <w:sz w:val="24"/>
          <w:szCs w:val="24"/>
          <w:highlight w:val="none"/>
          <w:lang w:val="en-US" w:eastAsia="zh-CN" w:bidi="zh-CN"/>
        </w:rPr>
      </w:pPr>
      <w:r>
        <w:rPr>
          <w:rFonts w:hint="eastAsia"/>
          <w:sz w:val="24"/>
          <w:szCs w:val="24"/>
          <w:highlight w:val="none"/>
          <w:lang w:val="en-US" w:eastAsia="zh-CN"/>
        </w:rPr>
        <w:t>7.</w:t>
      </w:r>
      <w:r>
        <w:rPr>
          <w:sz w:val="24"/>
          <w:szCs w:val="24"/>
          <w:highlight w:val="none"/>
          <w:lang w:val="en-US"/>
        </w:rPr>
        <w:t>安全通信网络测评内容应包括：网络架构、通信传输、可信验证。</w:t>
      </w:r>
    </w:p>
    <w:p w14:paraId="5F77755B">
      <w:pPr>
        <w:pStyle w:val="6"/>
        <w:spacing w:line="360" w:lineRule="auto"/>
        <w:rPr>
          <w:rFonts w:ascii="宋体" w:hAnsi="宋体" w:eastAsia="宋体" w:cs="宋体"/>
          <w:kern w:val="2"/>
          <w:sz w:val="24"/>
          <w:szCs w:val="24"/>
          <w:highlight w:val="none"/>
          <w:lang w:val="en-US" w:eastAsia="zh-CN" w:bidi="zh-CN"/>
        </w:rPr>
      </w:pPr>
      <w:r>
        <w:rPr>
          <w:rFonts w:hint="eastAsia"/>
          <w:sz w:val="24"/>
          <w:szCs w:val="24"/>
          <w:highlight w:val="none"/>
          <w:lang w:val="en-US" w:eastAsia="zh-CN"/>
        </w:rPr>
        <w:t>8.</w:t>
      </w:r>
      <w:r>
        <w:rPr>
          <w:sz w:val="24"/>
          <w:szCs w:val="24"/>
          <w:highlight w:val="none"/>
          <w:lang w:val="en-US"/>
        </w:rPr>
        <w:t>安全区域边界测评内容应包括：边界防护、访问控制、入侵防范、恶意代码和垃圾邮件防范、安全审计、可信验证。</w:t>
      </w:r>
    </w:p>
    <w:p w14:paraId="6F1BFD6A">
      <w:pPr>
        <w:spacing w:line="360" w:lineRule="auto"/>
        <w:rPr>
          <w:rFonts w:ascii="宋体" w:hAnsi="宋体" w:cs="宋体"/>
          <w:w w:val="110"/>
          <w:kern w:val="2"/>
          <w:sz w:val="24"/>
          <w:szCs w:val="24"/>
          <w:highlight w:val="none"/>
          <w:lang w:val="en-US" w:eastAsia="zh-CN" w:bidi="zh-CN"/>
        </w:rPr>
      </w:pPr>
      <w:r>
        <w:rPr>
          <w:rFonts w:hint="eastAsia" w:ascii="宋体" w:hAnsi="宋体" w:cs="宋体"/>
          <w:w w:val="110"/>
          <w:sz w:val="24"/>
          <w:szCs w:val="24"/>
          <w:highlight w:val="none"/>
          <w:lang w:val="en-US" w:bidi="zh-CN"/>
        </w:rPr>
        <w:t>9.</w:t>
      </w:r>
      <w:r>
        <w:rPr>
          <w:rFonts w:hint="eastAsia" w:ascii="宋体" w:hAnsi="宋体" w:cs="宋体"/>
          <w:w w:val="110"/>
          <w:sz w:val="24"/>
          <w:szCs w:val="24"/>
          <w:highlight w:val="none"/>
          <w:lang w:bidi="zh-CN"/>
        </w:rPr>
        <w:t>安全计算环境测评内容应包括：身份鉴别、访问控制、安全审计、入侵防范、恶意代码防范、可信验证、数据完整性、数据保密性、数据备份恢复、剩余信息保护、个人信息保护。</w:t>
      </w:r>
    </w:p>
    <w:p w14:paraId="6771D447">
      <w:pPr>
        <w:spacing w:line="360" w:lineRule="auto"/>
        <w:rPr>
          <w:rFonts w:ascii="宋体" w:hAnsi="宋体" w:cs="宋体"/>
          <w:w w:val="110"/>
          <w:kern w:val="2"/>
          <w:sz w:val="24"/>
          <w:szCs w:val="24"/>
          <w:highlight w:val="none"/>
          <w:lang w:val="en-US" w:eastAsia="zh-CN" w:bidi="zh-CN"/>
        </w:rPr>
      </w:pPr>
      <w:r>
        <w:rPr>
          <w:rFonts w:hint="eastAsia" w:ascii="宋体" w:hAnsi="宋体" w:cs="宋体"/>
          <w:w w:val="110"/>
          <w:sz w:val="24"/>
          <w:szCs w:val="24"/>
          <w:highlight w:val="none"/>
          <w:lang w:val="en-US" w:bidi="zh-CN"/>
        </w:rPr>
        <w:t>10.</w:t>
      </w:r>
      <w:r>
        <w:rPr>
          <w:rFonts w:hint="eastAsia" w:ascii="宋体" w:hAnsi="宋体" w:cs="宋体"/>
          <w:w w:val="110"/>
          <w:sz w:val="24"/>
          <w:szCs w:val="24"/>
          <w:highlight w:val="none"/>
          <w:lang w:bidi="zh-CN"/>
        </w:rPr>
        <w:t>安全计算环境测评内容应包括：身份鉴别、访问控制、安全审计、入侵防范、恶意代码防范、可信验证、数据完整性、数据保密性、数据备份恢复、剩余信息保护、个人信息保护。</w:t>
      </w:r>
    </w:p>
    <w:p w14:paraId="50CA744C">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110"/>
          <w:sz w:val="24"/>
          <w:szCs w:val="24"/>
          <w:highlight w:val="none"/>
          <w:lang w:val="en-US" w:eastAsia="zh-CN"/>
        </w:rPr>
        <w:t>11.</w:t>
      </w:r>
      <w:r>
        <w:rPr>
          <w:rFonts w:hint="eastAsia"/>
          <w:w w:val="110"/>
          <w:sz w:val="24"/>
          <w:szCs w:val="24"/>
          <w:highlight w:val="none"/>
          <w:lang w:val="en-US"/>
        </w:rPr>
        <w:t>安全管理中心测评内容应包括：系统管理、审计管理、安全管理、集中管控。</w:t>
      </w:r>
    </w:p>
    <w:p w14:paraId="0AAB9DA8">
      <w:pPr>
        <w:spacing w:line="360" w:lineRule="auto"/>
        <w:rPr>
          <w:rFonts w:hint="eastAsia" w:ascii="宋体" w:hAnsi="宋体" w:cs="宋体"/>
          <w:w w:val="110"/>
          <w:kern w:val="2"/>
          <w:sz w:val="24"/>
          <w:szCs w:val="24"/>
          <w:highlight w:val="none"/>
          <w:lang w:val="en-US" w:eastAsia="zh-CN" w:bidi="zh-CN"/>
        </w:rPr>
      </w:pPr>
      <w:r>
        <w:rPr>
          <w:rFonts w:hint="eastAsia" w:ascii="宋体" w:hAnsi="宋体" w:cs="宋体"/>
          <w:w w:val="110"/>
          <w:sz w:val="24"/>
          <w:szCs w:val="24"/>
          <w:highlight w:val="none"/>
          <w:lang w:val="en-US" w:bidi="zh-CN"/>
        </w:rPr>
        <w:t>12.</w:t>
      </w:r>
      <w:r>
        <w:rPr>
          <w:rFonts w:hint="eastAsia" w:ascii="宋体" w:hAnsi="宋体" w:cs="宋体"/>
          <w:w w:val="110"/>
          <w:sz w:val="24"/>
          <w:szCs w:val="24"/>
          <w:highlight w:val="none"/>
          <w:lang w:bidi="zh-CN"/>
        </w:rPr>
        <w:t>安全管理制度测评内容应包括：安全策略、管理制度、制定和发布、评审和修订。</w:t>
      </w:r>
    </w:p>
    <w:p w14:paraId="3591C3E2">
      <w:pPr>
        <w:spacing w:line="360" w:lineRule="auto"/>
        <w:rPr>
          <w:rFonts w:hint="eastAsia" w:ascii="宋体" w:hAnsi="宋体" w:cs="宋体"/>
          <w:w w:val="110"/>
          <w:kern w:val="2"/>
          <w:sz w:val="24"/>
          <w:szCs w:val="24"/>
          <w:highlight w:val="none"/>
          <w:lang w:val="en-US" w:eastAsia="zh-CN" w:bidi="zh-CN"/>
        </w:rPr>
      </w:pPr>
      <w:r>
        <w:rPr>
          <w:rFonts w:hint="eastAsia" w:ascii="宋体" w:hAnsi="宋体" w:cs="宋体"/>
          <w:w w:val="110"/>
          <w:sz w:val="24"/>
          <w:szCs w:val="24"/>
          <w:highlight w:val="none"/>
          <w:lang w:val="en-US" w:bidi="zh-CN"/>
        </w:rPr>
        <w:t>13.</w:t>
      </w:r>
      <w:r>
        <w:rPr>
          <w:rFonts w:hint="eastAsia" w:ascii="宋体" w:hAnsi="宋体" w:cs="宋体"/>
          <w:w w:val="110"/>
          <w:sz w:val="24"/>
          <w:szCs w:val="24"/>
          <w:highlight w:val="none"/>
          <w:lang w:bidi="zh-CN"/>
        </w:rPr>
        <w:t>安全管理机构测评内容应包括：岗位设置、人员配备、授权和审批、沟通和合作、审核和检查。</w:t>
      </w:r>
    </w:p>
    <w:p w14:paraId="2700A8F6">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110"/>
          <w:sz w:val="24"/>
          <w:szCs w:val="24"/>
          <w:highlight w:val="none"/>
          <w:lang w:val="en-US" w:eastAsia="zh-CN"/>
        </w:rPr>
        <w:t>14.</w:t>
      </w:r>
      <w:r>
        <w:rPr>
          <w:rFonts w:hint="eastAsia"/>
          <w:w w:val="110"/>
          <w:sz w:val="24"/>
          <w:szCs w:val="24"/>
          <w:highlight w:val="none"/>
          <w:lang w:val="en-US"/>
        </w:rPr>
        <w:t>安全管理人员测评内容应包括：人员录用、人员离岗、安全意识教育和培训、外部人员访问管理。</w:t>
      </w:r>
    </w:p>
    <w:p w14:paraId="65CB67A8">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110"/>
          <w:sz w:val="24"/>
          <w:szCs w:val="24"/>
          <w:highlight w:val="none"/>
          <w:lang w:val="en-US" w:eastAsia="zh-CN"/>
        </w:rPr>
        <w:t>15.</w:t>
      </w:r>
      <w:r>
        <w:rPr>
          <w:rFonts w:hint="eastAsia"/>
          <w:w w:val="110"/>
          <w:sz w:val="24"/>
          <w:szCs w:val="24"/>
          <w:highlight w:val="none"/>
          <w:lang w:val="en-US"/>
        </w:rPr>
        <w:t>安全建设管理测评内容应包括：定级和备案、安全方案设计、产品采购和使用、自行软件开发、外包软件开发、工程实施、测试验收、系统交付、等级测评、服务供应商选择。</w:t>
      </w:r>
    </w:p>
    <w:p w14:paraId="1A61CE45">
      <w:pPr>
        <w:pStyle w:val="6"/>
        <w:spacing w:line="360" w:lineRule="auto"/>
        <w:rPr>
          <w:rFonts w:hint="eastAsia" w:ascii="宋体" w:hAnsi="宋体" w:eastAsia="宋体" w:cs="宋体"/>
          <w:w w:val="110"/>
          <w:kern w:val="2"/>
          <w:sz w:val="24"/>
          <w:szCs w:val="24"/>
          <w:highlight w:val="none"/>
          <w:lang w:val="en-US" w:eastAsia="zh-CN" w:bidi="zh-CN"/>
        </w:rPr>
      </w:pPr>
      <w:r>
        <w:rPr>
          <w:rFonts w:hint="eastAsia"/>
          <w:w w:val="110"/>
          <w:sz w:val="24"/>
          <w:szCs w:val="24"/>
          <w:highlight w:val="none"/>
          <w:lang w:val="en-US" w:eastAsia="zh-CN"/>
        </w:rPr>
        <w:t>16.</w:t>
      </w:r>
      <w:r>
        <w:rPr>
          <w:rFonts w:hint="eastAsia"/>
          <w:w w:val="110"/>
          <w:sz w:val="24"/>
          <w:szCs w:val="24"/>
          <w:highlight w:val="none"/>
          <w:lang w:val="en-US"/>
        </w:rPr>
        <w:t>安全运维管理测评内容应包括：环境管理、资产管理、介质管理、设备维护管理、漏洞和风险管理、网络和系统安全管理、恶意代码防范管理、配置管理、密码管理、变更管理、备份与恢复管理、安全事件处置、应急预案管理、外包运维管理。</w:t>
      </w:r>
    </w:p>
    <w:p w14:paraId="6EC2615C">
      <w:pPr>
        <w:rPr>
          <w:rFonts w:hint="default"/>
          <w:lang w:val="en-US" w:eastAsia="zh-CN"/>
        </w:rPr>
      </w:pPr>
      <w:r>
        <w:rPr>
          <w:rFonts w:hint="eastAsia"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需提供一年内的售后技术咨询服务。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2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2025-12-31T06:38:11Z</dcterms:created>
  <dc:creator>17278</dc:creator>
  <cp:lastModifiedBy>Milkway</cp:lastModifiedBy>
  <dcterms:modified xsi:type="dcterms:W3CDTF">2025-12-31T06:38:53Z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eyJoZGlkIjoiMGEzMDA0ZjM2YTY0ZWU4OWExODM1YmQyYzlhMDk1MWMiLCJ1c2VySWQiOiIzNDQ2NjQ2MTkifQ==</vt:lpwstr>
  </property>
  <property fmtid="{D5CDD505-2E9C-101B-9397-08002B2CF9AE}" pid="4" name="ICV">
    <vt:lpwstr>F003988BA1B34B7C9DA5A3382498960B_12</vt:lpwstr>
  </property>
</Properties>
</file>